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C884" w14:textId="77777777" w:rsidR="003212E1" w:rsidRPr="00873FF4" w:rsidRDefault="003212E1" w:rsidP="003212E1">
      <w:r w:rsidRPr="00873FF4">
        <w:t>Razina: 11</w:t>
      </w:r>
    </w:p>
    <w:p w14:paraId="2EA32BBF" w14:textId="77777777" w:rsidR="003212E1" w:rsidRPr="00873FF4" w:rsidRDefault="003212E1" w:rsidP="003212E1">
      <w:r w:rsidRPr="00873FF4">
        <w:t>Razdjel : 041</w:t>
      </w:r>
    </w:p>
    <w:p w14:paraId="44D21647" w14:textId="77777777" w:rsidR="003212E1" w:rsidRPr="00873FF4" w:rsidRDefault="003212E1" w:rsidP="003212E1">
      <w:r w:rsidRPr="00873FF4">
        <w:t>Matični broj: 04140966</w:t>
      </w:r>
    </w:p>
    <w:p w14:paraId="4AAD7E1B" w14:textId="77777777" w:rsidR="003212E1" w:rsidRPr="00873FF4" w:rsidRDefault="003212E1" w:rsidP="003212E1">
      <w:r w:rsidRPr="00873FF4">
        <w:t>RKP: 48314</w:t>
      </w:r>
    </w:p>
    <w:p w14:paraId="7CCBA341" w14:textId="77777777" w:rsidR="003212E1" w:rsidRPr="00873FF4" w:rsidRDefault="003212E1" w:rsidP="003212E1">
      <w:r w:rsidRPr="00873FF4">
        <w:t>Djelatnost: 9103</w:t>
      </w:r>
    </w:p>
    <w:p w14:paraId="3F838C9B" w14:textId="0CAA0467" w:rsidR="003212E1" w:rsidRPr="00873FF4" w:rsidRDefault="003212E1" w:rsidP="003212E1">
      <w:r w:rsidRPr="00873FF4">
        <w:t>OIB: 18534327031</w:t>
      </w:r>
    </w:p>
    <w:p w14:paraId="34B5EEE0" w14:textId="77777777" w:rsidR="003212E1" w:rsidRPr="00873FF4" w:rsidRDefault="003212E1" w:rsidP="003212E1"/>
    <w:p w14:paraId="4299D5AD" w14:textId="77777777" w:rsidR="003212E1" w:rsidRPr="00CA2100" w:rsidRDefault="003212E1" w:rsidP="003212E1">
      <w:pPr>
        <w:jc w:val="center"/>
        <w:rPr>
          <w:b/>
          <w:sz w:val="32"/>
          <w:szCs w:val="32"/>
        </w:rPr>
      </w:pPr>
      <w:r w:rsidRPr="00CA2100">
        <w:rPr>
          <w:b/>
          <w:sz w:val="32"/>
          <w:szCs w:val="32"/>
        </w:rPr>
        <w:t>Bilješke uz financijske izvještaje</w:t>
      </w:r>
    </w:p>
    <w:p w14:paraId="22A72092" w14:textId="77777777" w:rsidR="003212E1" w:rsidRPr="00873FF4" w:rsidRDefault="003212E1" w:rsidP="003212E1">
      <w:pPr>
        <w:rPr>
          <w:b/>
        </w:rPr>
      </w:pPr>
    </w:p>
    <w:p w14:paraId="009948E6" w14:textId="45A85414" w:rsidR="003212E1" w:rsidRPr="00CA2100" w:rsidRDefault="003212E1" w:rsidP="003212E1">
      <w:pPr>
        <w:jc w:val="center"/>
        <w:rPr>
          <w:sz w:val="28"/>
          <w:szCs w:val="28"/>
        </w:rPr>
      </w:pPr>
      <w:r w:rsidRPr="00CA2100">
        <w:rPr>
          <w:sz w:val="28"/>
          <w:szCs w:val="28"/>
        </w:rPr>
        <w:t xml:space="preserve">Za razdoblje </w:t>
      </w:r>
      <w:r w:rsidR="00614504">
        <w:rPr>
          <w:sz w:val="28"/>
          <w:szCs w:val="28"/>
        </w:rPr>
        <w:t>01.01.202</w:t>
      </w:r>
      <w:r w:rsidR="00EA3DA6">
        <w:rPr>
          <w:sz w:val="28"/>
          <w:szCs w:val="28"/>
        </w:rPr>
        <w:t>2</w:t>
      </w:r>
      <w:r w:rsidR="00614504">
        <w:rPr>
          <w:sz w:val="28"/>
          <w:szCs w:val="28"/>
        </w:rPr>
        <w:t>.-31.12.202</w:t>
      </w:r>
      <w:r w:rsidR="00EA3DA6">
        <w:rPr>
          <w:sz w:val="28"/>
          <w:szCs w:val="28"/>
        </w:rPr>
        <w:t>2</w:t>
      </w:r>
      <w:r w:rsidRPr="00CA2100">
        <w:rPr>
          <w:sz w:val="28"/>
          <w:szCs w:val="28"/>
        </w:rPr>
        <w:t>.</w:t>
      </w:r>
    </w:p>
    <w:p w14:paraId="138E5A74" w14:textId="77777777" w:rsidR="003212E1" w:rsidRPr="00CA2100" w:rsidRDefault="003212E1" w:rsidP="003212E1">
      <w:pPr>
        <w:jc w:val="center"/>
        <w:rPr>
          <w:sz w:val="28"/>
          <w:szCs w:val="28"/>
        </w:rPr>
      </w:pPr>
    </w:p>
    <w:p w14:paraId="5730BEC6" w14:textId="5CFC94B5" w:rsidR="003212E1" w:rsidRDefault="003212E1" w:rsidP="003212E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387EC4">
        <w:rPr>
          <w:b/>
          <w:sz w:val="28"/>
          <w:szCs w:val="28"/>
        </w:rPr>
        <w:t>OPĆI DIO</w:t>
      </w:r>
    </w:p>
    <w:p w14:paraId="60E1BC05" w14:textId="77777777" w:rsidR="00B60BE0" w:rsidRPr="00387EC4" w:rsidRDefault="00B60BE0" w:rsidP="00B60BE0">
      <w:pPr>
        <w:pStyle w:val="Odlomakpopisa"/>
        <w:rPr>
          <w:b/>
          <w:sz w:val="28"/>
          <w:szCs w:val="28"/>
        </w:rPr>
      </w:pPr>
    </w:p>
    <w:p w14:paraId="00A75AF2" w14:textId="77777777" w:rsidR="003212E1" w:rsidRPr="00873FF4" w:rsidRDefault="003212E1" w:rsidP="00B60BE0">
      <w:pPr>
        <w:spacing w:after="160" w:line="259" w:lineRule="auto"/>
        <w:jc w:val="both"/>
        <w:rPr>
          <w:rFonts w:eastAsiaTheme="minorHAnsi"/>
          <w:lang w:eastAsia="en-US"/>
        </w:rPr>
      </w:pPr>
      <w:r w:rsidRPr="00873FF4">
        <w:rPr>
          <w:rFonts w:eastAsiaTheme="minorHAnsi"/>
          <w:lang w:eastAsia="en-US"/>
        </w:rPr>
        <w:t>Javna ustanova ''Memorijalni centar Domovinskog rata Vukovar'' je osnovana 02.05.2013. godine po rješenju Trgovačkog suda u Osijeku, a s redovitim poslovanjem je započela 02.01.2014</w:t>
      </w:r>
      <w:r>
        <w:rPr>
          <w:rFonts w:eastAsiaTheme="minorHAnsi"/>
          <w:lang w:eastAsia="en-US"/>
        </w:rPr>
        <w:t>. godine</w:t>
      </w:r>
      <w:r w:rsidRPr="00873FF4">
        <w:rPr>
          <w:rFonts w:eastAsiaTheme="minorHAnsi"/>
          <w:lang w:eastAsia="en-US"/>
        </w:rPr>
        <w:t xml:space="preserve">. </w:t>
      </w:r>
    </w:p>
    <w:p w14:paraId="2F58A80B" w14:textId="0865D11F" w:rsidR="003212E1" w:rsidRPr="00873FF4" w:rsidRDefault="003212E1" w:rsidP="00B60BE0">
      <w:pPr>
        <w:spacing w:after="160" w:line="259" w:lineRule="auto"/>
        <w:jc w:val="both"/>
        <w:rPr>
          <w:rFonts w:eastAsiaTheme="minorHAnsi"/>
          <w:lang w:eastAsia="en-US"/>
        </w:rPr>
      </w:pPr>
      <w:r w:rsidRPr="00873FF4">
        <w:rPr>
          <w:rFonts w:eastAsiaTheme="minorHAnsi"/>
          <w:lang w:eastAsia="en-US"/>
        </w:rPr>
        <w:t>Zakonom o proračunu</w:t>
      </w:r>
      <w:r w:rsidR="003A5584">
        <w:rPr>
          <w:rFonts w:eastAsiaTheme="minorHAnsi"/>
          <w:lang w:eastAsia="en-US"/>
        </w:rPr>
        <w:t xml:space="preserve"> </w:t>
      </w:r>
      <w:r w:rsidRPr="00873FF4">
        <w:rPr>
          <w:rFonts w:eastAsiaTheme="minorHAnsi"/>
          <w:lang w:eastAsia="en-US"/>
        </w:rPr>
        <w:t>i Pravilnikom o financijskom izvještavanju u proračunskom računovodstvu Javna ustanova ''Memorijalni centar Domovinskog rata Vukovar'' je obveznik sastavljanja financijskih izvještaja.</w:t>
      </w:r>
    </w:p>
    <w:p w14:paraId="77337553" w14:textId="77777777" w:rsidR="003212E1" w:rsidRPr="00873FF4" w:rsidRDefault="003212E1" w:rsidP="00B60BE0">
      <w:pPr>
        <w:spacing w:after="160" w:line="259" w:lineRule="auto"/>
        <w:jc w:val="both"/>
        <w:rPr>
          <w:rFonts w:eastAsiaTheme="minorHAnsi"/>
          <w:lang w:eastAsia="en-US"/>
        </w:rPr>
      </w:pPr>
      <w:r w:rsidRPr="00873FF4">
        <w:rPr>
          <w:rFonts w:eastAsiaTheme="minorHAnsi"/>
          <w:lang w:eastAsia="en-US"/>
        </w:rPr>
        <w:t>Javna ustanova ''Memorijalni centar Domovinskog rata Vukovar'' vodi knjigovodstvo po načelu dvojnog knjigovodstva, prema rasporedu računa iz Računskog plana koji je sastavni dio Pravilnika o proračunskom računovodstvu i računskom planu.</w:t>
      </w:r>
    </w:p>
    <w:p w14:paraId="0C28F9DD" w14:textId="77777777" w:rsidR="003212E1" w:rsidRDefault="003212E1" w:rsidP="00B60BE0">
      <w:pPr>
        <w:spacing w:after="160" w:line="259" w:lineRule="auto"/>
        <w:jc w:val="both"/>
        <w:rPr>
          <w:rFonts w:eastAsiaTheme="minorHAnsi"/>
          <w:lang w:eastAsia="en-US"/>
        </w:rPr>
      </w:pPr>
      <w:r w:rsidRPr="00A2110A">
        <w:rPr>
          <w:rFonts w:eastAsiaTheme="minorHAnsi"/>
          <w:lang w:eastAsia="en-US"/>
        </w:rPr>
        <w:t>Ustanovu zastupa ravnatelj, Krunoslav Šeremet,</w:t>
      </w:r>
      <w:r>
        <w:rPr>
          <w:rFonts w:eastAsiaTheme="minorHAnsi"/>
          <w:lang w:eastAsia="en-US"/>
        </w:rPr>
        <w:t xml:space="preserve"> </w:t>
      </w:r>
      <w:r w:rsidRPr="00A2110A">
        <w:rPr>
          <w:rFonts w:eastAsiaTheme="minorHAnsi"/>
          <w:lang w:eastAsia="en-US"/>
        </w:rPr>
        <w:t>dipl.</w:t>
      </w:r>
      <w:r>
        <w:rPr>
          <w:rFonts w:eastAsiaTheme="minorHAnsi"/>
          <w:lang w:eastAsia="en-US"/>
        </w:rPr>
        <w:t xml:space="preserve"> </w:t>
      </w:r>
      <w:r w:rsidRPr="00A2110A">
        <w:rPr>
          <w:rFonts w:eastAsiaTheme="minorHAnsi"/>
          <w:lang w:eastAsia="en-US"/>
        </w:rPr>
        <w:t>ing.</w:t>
      </w:r>
    </w:p>
    <w:p w14:paraId="1B06432B" w14:textId="77777777" w:rsidR="003212E1" w:rsidRPr="00873FF4" w:rsidRDefault="003212E1" w:rsidP="0006216D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</w:p>
    <w:p w14:paraId="0DB89DE5" w14:textId="668699A2" w:rsidR="00B60BE0" w:rsidRDefault="003212E1" w:rsidP="003212E1">
      <w:pPr>
        <w:pStyle w:val="Odlomakpopisa"/>
        <w:numPr>
          <w:ilvl w:val="0"/>
          <w:numId w:val="1"/>
        </w:num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F24F92">
        <w:rPr>
          <w:rFonts w:eastAsiaTheme="minorHAnsi"/>
          <w:b/>
          <w:sz w:val="28"/>
          <w:szCs w:val="28"/>
          <w:lang w:eastAsia="en-US"/>
        </w:rPr>
        <w:t xml:space="preserve">BILJEŠKE UZ IZVJEŠTAJ O PRIHODIMA I RASHODIMA, PRIMICIMA </w:t>
      </w:r>
      <w:r w:rsidR="002B58EF">
        <w:rPr>
          <w:rFonts w:eastAsiaTheme="minorHAnsi"/>
          <w:b/>
          <w:sz w:val="28"/>
          <w:szCs w:val="28"/>
          <w:lang w:eastAsia="en-US"/>
        </w:rPr>
        <w:t xml:space="preserve">I </w:t>
      </w:r>
      <w:r w:rsidRPr="00F24F92">
        <w:rPr>
          <w:rFonts w:eastAsiaTheme="minorHAnsi"/>
          <w:b/>
          <w:sz w:val="28"/>
          <w:szCs w:val="28"/>
          <w:lang w:eastAsia="en-US"/>
        </w:rPr>
        <w:t>IZDACIMA – OBR</w:t>
      </w:r>
      <w:r w:rsidR="000A1679">
        <w:rPr>
          <w:rFonts w:eastAsiaTheme="minorHAnsi"/>
          <w:b/>
          <w:sz w:val="28"/>
          <w:szCs w:val="28"/>
          <w:lang w:eastAsia="en-US"/>
        </w:rPr>
        <w:t>A</w:t>
      </w:r>
      <w:r w:rsidRPr="00F24F92">
        <w:rPr>
          <w:rFonts w:eastAsiaTheme="minorHAnsi"/>
          <w:b/>
          <w:sz w:val="28"/>
          <w:szCs w:val="28"/>
          <w:lang w:eastAsia="en-US"/>
        </w:rPr>
        <w:t>ZAC PR-RAS</w:t>
      </w:r>
    </w:p>
    <w:p w14:paraId="31E6D7F1" w14:textId="77777777" w:rsidR="005E51EA" w:rsidRPr="005E51EA" w:rsidRDefault="005E51EA" w:rsidP="005E51EA">
      <w:pPr>
        <w:pStyle w:val="Odlomakpopisa"/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</w:p>
    <w:p w14:paraId="471222D8" w14:textId="409E2523" w:rsidR="00EE26BB" w:rsidRPr="005E51EA" w:rsidRDefault="003212E1" w:rsidP="005E51EA">
      <w:pPr>
        <w:rPr>
          <w:rFonts w:eastAsiaTheme="minorHAnsi"/>
          <w:b/>
          <w:color w:val="FF0000"/>
          <w:sz w:val="28"/>
          <w:szCs w:val="28"/>
          <w:lang w:eastAsia="en-US"/>
        </w:rPr>
      </w:pPr>
      <w:r w:rsidRPr="003733CB">
        <w:rPr>
          <w:rFonts w:eastAsiaTheme="minorHAnsi"/>
          <w:b/>
          <w:sz w:val="28"/>
          <w:szCs w:val="28"/>
          <w:lang w:eastAsia="en-US"/>
        </w:rPr>
        <w:t>UKUPNI PRIHODI</w:t>
      </w:r>
      <w:r w:rsidR="00EE26B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733CB">
        <w:rPr>
          <w:rFonts w:eastAsiaTheme="minorHAnsi"/>
          <w:b/>
          <w:sz w:val="28"/>
          <w:szCs w:val="28"/>
          <w:lang w:eastAsia="en-US"/>
        </w:rPr>
        <w:t>–</w:t>
      </w:r>
      <w:r w:rsidR="00EE26BB">
        <w:rPr>
          <w:rFonts w:eastAsiaTheme="minorHAnsi"/>
          <w:b/>
          <w:sz w:val="28"/>
          <w:szCs w:val="28"/>
          <w:lang w:eastAsia="en-US"/>
        </w:rPr>
        <w:t xml:space="preserve"> 37.114.493,68</w:t>
      </w:r>
      <w:r w:rsidR="00284F19">
        <w:rPr>
          <w:rFonts w:eastAsiaTheme="minorHAnsi"/>
          <w:b/>
          <w:sz w:val="28"/>
          <w:szCs w:val="28"/>
          <w:lang w:eastAsia="en-US"/>
        </w:rPr>
        <w:t xml:space="preserve"> kn</w:t>
      </w:r>
      <w:r w:rsidR="005E51EA">
        <w:rPr>
          <w:rFonts w:eastAsiaTheme="minorHAnsi"/>
          <w:b/>
          <w:color w:val="FF0000"/>
          <w:sz w:val="28"/>
          <w:szCs w:val="28"/>
          <w:lang w:eastAsia="en-US"/>
        </w:rPr>
        <w:br/>
      </w:r>
    </w:p>
    <w:p w14:paraId="2CCB927B" w14:textId="77777777" w:rsidR="00B60BE0" w:rsidRDefault="003212E1" w:rsidP="00EE26BB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EE26BB">
        <w:rPr>
          <w:rFonts w:eastAsiaTheme="minorHAnsi"/>
          <w:lang w:eastAsia="en-US"/>
        </w:rPr>
        <w:t xml:space="preserve">Ukupni prihodi u razdoblju </w:t>
      </w:r>
      <w:r w:rsidR="00EE26BB" w:rsidRPr="00EE26BB">
        <w:rPr>
          <w:rFonts w:eastAsiaTheme="minorHAnsi"/>
          <w:lang w:eastAsia="en-US"/>
        </w:rPr>
        <w:t xml:space="preserve">od 01.01.2022. do 31.12.2022. godine </w:t>
      </w:r>
      <w:r w:rsidRPr="00EE26BB">
        <w:rPr>
          <w:rFonts w:eastAsiaTheme="minorHAnsi"/>
          <w:lang w:eastAsia="en-US"/>
        </w:rPr>
        <w:t xml:space="preserve">ostvareni su u iznosu od </w:t>
      </w:r>
      <w:r w:rsidR="00EE26BB" w:rsidRPr="00EE26BB">
        <w:rPr>
          <w:rFonts w:eastAsiaTheme="minorHAnsi"/>
          <w:lang w:eastAsia="en-US"/>
        </w:rPr>
        <w:t>37.114.493,68</w:t>
      </w:r>
      <w:r w:rsidRPr="00EE26BB">
        <w:rPr>
          <w:rFonts w:eastAsiaTheme="minorHAnsi"/>
          <w:lang w:eastAsia="en-US"/>
        </w:rPr>
        <w:t xml:space="preserve"> kn što čini </w:t>
      </w:r>
      <w:r w:rsidR="00EE26BB" w:rsidRPr="00EE26BB">
        <w:rPr>
          <w:rFonts w:eastAsiaTheme="minorHAnsi"/>
          <w:lang w:eastAsia="en-US"/>
        </w:rPr>
        <w:t>povećanje</w:t>
      </w:r>
      <w:r w:rsidR="003733CB" w:rsidRPr="00EE26BB">
        <w:rPr>
          <w:rFonts w:eastAsiaTheme="minorHAnsi"/>
          <w:lang w:eastAsia="en-US"/>
        </w:rPr>
        <w:t xml:space="preserve"> </w:t>
      </w:r>
      <w:r w:rsidRPr="00EE26BB">
        <w:rPr>
          <w:rFonts w:eastAsiaTheme="minorHAnsi"/>
          <w:lang w:eastAsia="en-US"/>
        </w:rPr>
        <w:t>u</w:t>
      </w:r>
      <w:r w:rsidR="00614504" w:rsidRPr="00EE26BB">
        <w:rPr>
          <w:rFonts w:eastAsiaTheme="minorHAnsi"/>
          <w:lang w:eastAsia="en-US"/>
        </w:rPr>
        <w:t xml:space="preserve"> odnosu na isto razdoblje u 20</w:t>
      </w:r>
      <w:r w:rsidR="004E44DF" w:rsidRPr="00EE26BB">
        <w:rPr>
          <w:rFonts w:eastAsiaTheme="minorHAnsi"/>
          <w:lang w:eastAsia="en-US"/>
        </w:rPr>
        <w:t>2</w:t>
      </w:r>
      <w:r w:rsidR="00EE26BB" w:rsidRPr="00EE26BB">
        <w:rPr>
          <w:rFonts w:eastAsiaTheme="minorHAnsi"/>
          <w:lang w:eastAsia="en-US"/>
        </w:rPr>
        <w:t>1</w:t>
      </w:r>
      <w:r w:rsidR="00614504" w:rsidRPr="00EE26BB">
        <w:rPr>
          <w:rFonts w:eastAsiaTheme="minorHAnsi"/>
          <w:lang w:eastAsia="en-US"/>
        </w:rPr>
        <w:t>.</w:t>
      </w:r>
      <w:r w:rsidRPr="00EE26BB">
        <w:rPr>
          <w:rFonts w:eastAsiaTheme="minorHAnsi"/>
          <w:lang w:eastAsia="en-US"/>
        </w:rPr>
        <w:t xml:space="preserve"> godini kada su ukupni ostvareni prihodi iznosili </w:t>
      </w:r>
      <w:r w:rsidR="00EE26BB" w:rsidRPr="00EE26BB">
        <w:rPr>
          <w:rFonts w:eastAsiaTheme="minorHAnsi"/>
          <w:lang w:eastAsia="en-US"/>
        </w:rPr>
        <w:t>15.442.653</w:t>
      </w:r>
      <w:r w:rsidRPr="00EE26BB">
        <w:rPr>
          <w:rFonts w:eastAsiaTheme="minorHAnsi"/>
          <w:lang w:eastAsia="en-US"/>
        </w:rPr>
        <w:t>,00 kn.</w:t>
      </w:r>
    </w:p>
    <w:p w14:paraId="0DEF86D1" w14:textId="7E8E1BC0" w:rsidR="00EE26BB" w:rsidRPr="00EE26BB" w:rsidRDefault="003212E1" w:rsidP="00B60BE0">
      <w:pPr>
        <w:pStyle w:val="Odlomakpopisa"/>
        <w:spacing w:after="160" w:line="259" w:lineRule="auto"/>
        <w:jc w:val="both"/>
        <w:rPr>
          <w:rFonts w:eastAsiaTheme="minorHAnsi"/>
          <w:lang w:eastAsia="en-US"/>
        </w:rPr>
      </w:pPr>
      <w:r w:rsidRPr="00EE26BB">
        <w:rPr>
          <w:rFonts w:eastAsiaTheme="minorHAnsi"/>
          <w:lang w:eastAsia="en-US"/>
        </w:rPr>
        <w:t xml:space="preserve"> </w:t>
      </w:r>
    </w:p>
    <w:p w14:paraId="67584174" w14:textId="403E200D" w:rsidR="00B60BE0" w:rsidRPr="00B60BE0" w:rsidRDefault="003212E1" w:rsidP="00B60BE0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EE26BB">
        <w:rPr>
          <w:rFonts w:eastAsiaTheme="minorHAnsi"/>
          <w:lang w:eastAsia="en-US"/>
        </w:rPr>
        <w:t xml:space="preserve">U promatranom razdoblju Javna ustanova ''Memorijalni centar Domovinskog rata Vukovar'' ostvarila je </w:t>
      </w:r>
      <w:r w:rsidR="004E44DF" w:rsidRPr="00EE26BB">
        <w:rPr>
          <w:rFonts w:eastAsiaTheme="minorHAnsi"/>
          <w:lang w:eastAsia="en-US"/>
        </w:rPr>
        <w:t>6.</w:t>
      </w:r>
      <w:r w:rsidR="00EE26BB" w:rsidRPr="00EE26BB">
        <w:rPr>
          <w:rFonts w:eastAsiaTheme="minorHAnsi"/>
          <w:lang w:eastAsia="en-US"/>
        </w:rPr>
        <w:t>921.964,31</w:t>
      </w:r>
      <w:r w:rsidRPr="00EE26BB">
        <w:rPr>
          <w:rFonts w:eastAsiaTheme="minorHAnsi"/>
          <w:lang w:eastAsia="en-US"/>
        </w:rPr>
        <w:t xml:space="preserve"> kn prihoda temeljem tekućih pomoći od institucija EU</w:t>
      </w:r>
      <w:r w:rsidR="00EE26BB" w:rsidRPr="00EE26BB">
        <w:rPr>
          <w:rFonts w:eastAsiaTheme="minorHAnsi"/>
          <w:lang w:eastAsia="en-US"/>
        </w:rPr>
        <w:t xml:space="preserve"> </w:t>
      </w:r>
      <w:r w:rsidRPr="00EE26BB">
        <w:rPr>
          <w:rFonts w:eastAsiaTheme="minorHAnsi"/>
          <w:lang w:eastAsia="en-US"/>
        </w:rPr>
        <w:t>koja su namijenjena za financiranje projekta Digitalizacija arhivskog gradiva iz Domovinskog rata</w:t>
      </w:r>
      <w:r w:rsidR="00EE26BB" w:rsidRPr="00EE26BB">
        <w:rPr>
          <w:rFonts w:eastAsiaTheme="minorHAnsi"/>
          <w:lang w:eastAsia="en-US"/>
        </w:rPr>
        <w:t xml:space="preserve"> (u strukturi ukupnih prihoda 1</w:t>
      </w:r>
      <w:r w:rsidR="002B58EF">
        <w:rPr>
          <w:rFonts w:eastAsiaTheme="minorHAnsi"/>
          <w:lang w:eastAsia="en-US"/>
        </w:rPr>
        <w:t xml:space="preserve">9 </w:t>
      </w:r>
      <w:r w:rsidR="00EE26BB" w:rsidRPr="00EE26BB">
        <w:rPr>
          <w:rFonts w:eastAsiaTheme="minorHAnsi"/>
          <w:lang w:eastAsia="en-US"/>
        </w:rPr>
        <w:t>%).</w:t>
      </w:r>
    </w:p>
    <w:p w14:paraId="7DA2BDCC" w14:textId="77777777" w:rsidR="00B60BE0" w:rsidRPr="00EE26BB" w:rsidRDefault="00B60BE0" w:rsidP="00B60BE0">
      <w:pPr>
        <w:pStyle w:val="Odlomakpopisa"/>
        <w:spacing w:after="160" w:line="259" w:lineRule="auto"/>
        <w:jc w:val="both"/>
        <w:rPr>
          <w:rFonts w:eastAsiaTheme="minorHAnsi"/>
          <w:lang w:eastAsia="en-US"/>
        </w:rPr>
      </w:pPr>
    </w:p>
    <w:p w14:paraId="43D40C7D" w14:textId="393DA2A1" w:rsidR="00EE26BB" w:rsidRDefault="003212E1" w:rsidP="00EE26BB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eastAsiaTheme="minorHAnsi"/>
          <w:b/>
          <w:lang w:eastAsia="en-US"/>
        </w:rPr>
      </w:pPr>
      <w:r w:rsidRPr="00EE26BB">
        <w:rPr>
          <w:rFonts w:eastAsiaTheme="minorHAnsi"/>
          <w:lang w:eastAsia="en-US"/>
        </w:rPr>
        <w:lastRenderedPageBreak/>
        <w:t>Prihodi od pruženih usluga</w:t>
      </w:r>
      <w:r w:rsidR="00EE26BB" w:rsidRPr="00EE26BB">
        <w:rPr>
          <w:rFonts w:eastAsiaTheme="minorHAnsi"/>
          <w:lang w:eastAsia="en-US"/>
        </w:rPr>
        <w:t xml:space="preserve"> </w:t>
      </w:r>
      <w:r w:rsidRPr="00EE26BB">
        <w:rPr>
          <w:rFonts w:eastAsiaTheme="minorHAnsi"/>
          <w:lang w:eastAsia="en-US"/>
        </w:rPr>
        <w:t xml:space="preserve">iznose </w:t>
      </w:r>
      <w:r w:rsidR="00EE26BB" w:rsidRPr="00EE26BB">
        <w:rPr>
          <w:rFonts w:eastAsiaTheme="minorHAnsi"/>
          <w:lang w:eastAsia="en-US"/>
        </w:rPr>
        <w:t>591.030,72</w:t>
      </w:r>
      <w:r w:rsidRPr="00EE26BB">
        <w:rPr>
          <w:rFonts w:eastAsiaTheme="minorHAnsi"/>
          <w:lang w:eastAsia="en-US"/>
        </w:rPr>
        <w:t xml:space="preserve"> kn</w:t>
      </w:r>
      <w:r w:rsidRPr="00EE26BB">
        <w:rPr>
          <w:rFonts w:eastAsiaTheme="minorHAnsi"/>
          <w:color w:val="FF0000"/>
          <w:lang w:eastAsia="en-US"/>
        </w:rPr>
        <w:t xml:space="preserve"> </w:t>
      </w:r>
      <w:r w:rsidRPr="00EE26BB">
        <w:rPr>
          <w:rFonts w:eastAsiaTheme="minorHAnsi"/>
          <w:lang w:eastAsia="en-US"/>
        </w:rPr>
        <w:t xml:space="preserve">(u strukturi ukupnih prihoda </w:t>
      </w:r>
      <w:r w:rsidR="004E44DF" w:rsidRPr="00EE26BB">
        <w:rPr>
          <w:rFonts w:eastAsiaTheme="minorHAnsi"/>
          <w:lang w:eastAsia="en-US"/>
        </w:rPr>
        <w:t>1</w:t>
      </w:r>
      <w:r w:rsidRPr="00EE26BB">
        <w:rPr>
          <w:rFonts w:eastAsiaTheme="minorHAnsi"/>
          <w:lang w:eastAsia="en-US"/>
        </w:rPr>
        <w:t xml:space="preserve">% ), </w:t>
      </w:r>
      <w:r w:rsidR="00EE26BB" w:rsidRPr="00EE26BB">
        <w:rPr>
          <w:rFonts w:eastAsiaTheme="minorHAnsi"/>
          <w:lang w:eastAsia="en-US"/>
        </w:rPr>
        <w:t>navedeno</w:t>
      </w:r>
      <w:r w:rsidRPr="00EE26BB">
        <w:rPr>
          <w:rFonts w:eastAsiaTheme="minorHAnsi"/>
          <w:lang w:eastAsia="en-US"/>
        </w:rPr>
        <w:t xml:space="preserve"> čine prihodi od zakupa restorana Istra (u iznosu od </w:t>
      </w:r>
      <w:r w:rsidR="00EE26BB" w:rsidRPr="00EE26BB">
        <w:rPr>
          <w:rFonts w:eastAsiaTheme="minorHAnsi"/>
          <w:lang w:eastAsia="en-US"/>
        </w:rPr>
        <w:t>384.000</w:t>
      </w:r>
      <w:r w:rsidRPr="00EE26BB">
        <w:rPr>
          <w:rFonts w:eastAsiaTheme="minorHAnsi"/>
          <w:lang w:eastAsia="en-US"/>
        </w:rPr>
        <w:t xml:space="preserve">,00 kn, udio u strukturi prihoda od pruženih </w:t>
      </w:r>
      <w:r w:rsidR="003733CB" w:rsidRPr="00EE26BB">
        <w:rPr>
          <w:rFonts w:eastAsiaTheme="minorHAnsi"/>
          <w:lang w:eastAsia="en-US"/>
        </w:rPr>
        <w:t xml:space="preserve">usluga </w:t>
      </w:r>
      <w:r w:rsidR="004E44DF" w:rsidRPr="00EE26BB">
        <w:rPr>
          <w:rFonts w:eastAsiaTheme="minorHAnsi"/>
          <w:lang w:eastAsia="en-US"/>
        </w:rPr>
        <w:t>6</w:t>
      </w:r>
      <w:r w:rsidR="00EE26BB" w:rsidRPr="00EE26BB">
        <w:rPr>
          <w:rFonts w:eastAsiaTheme="minorHAnsi"/>
          <w:lang w:eastAsia="en-US"/>
        </w:rPr>
        <w:t>5</w:t>
      </w:r>
      <w:r w:rsidRPr="00EE26BB">
        <w:rPr>
          <w:rFonts w:eastAsiaTheme="minorHAnsi"/>
          <w:lang w:eastAsia="en-US"/>
        </w:rPr>
        <w:t>%), a ostatak se odnosi na prihode od usluga smještaja u hostelu Dubrovnik</w:t>
      </w:r>
      <w:r w:rsidR="005A678A" w:rsidRPr="00EE26BB">
        <w:rPr>
          <w:rFonts w:eastAsiaTheme="minorHAnsi"/>
          <w:lang w:eastAsia="en-US"/>
        </w:rPr>
        <w:t>, prihode od zakupa za smještaj antenskih prihvata i zakupa reklamnog prostora</w:t>
      </w:r>
      <w:r w:rsidRPr="00EE26BB">
        <w:rPr>
          <w:rFonts w:eastAsiaTheme="minorHAnsi"/>
          <w:b/>
          <w:lang w:eastAsia="en-US"/>
        </w:rPr>
        <w:t xml:space="preserve">. </w:t>
      </w:r>
    </w:p>
    <w:p w14:paraId="0C94DED2" w14:textId="77777777" w:rsidR="00B60BE0" w:rsidRPr="00EE26BB" w:rsidRDefault="00B60BE0" w:rsidP="00B60BE0">
      <w:pPr>
        <w:pStyle w:val="Odlomakpopisa"/>
        <w:spacing w:after="160" w:line="259" w:lineRule="auto"/>
        <w:jc w:val="both"/>
        <w:rPr>
          <w:rFonts w:eastAsiaTheme="minorHAnsi"/>
          <w:b/>
          <w:lang w:eastAsia="en-US"/>
        </w:rPr>
      </w:pPr>
    </w:p>
    <w:p w14:paraId="2263CAD4" w14:textId="02FF1B2A" w:rsidR="00B60BE0" w:rsidRPr="00B60BE0" w:rsidRDefault="003212E1" w:rsidP="00B60BE0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EE26BB">
        <w:rPr>
          <w:rFonts w:eastAsiaTheme="minorHAnsi"/>
          <w:lang w:eastAsia="en-US"/>
        </w:rPr>
        <w:t>Ukupni prihodi iz nadležnog proračuna za financiranje redovne djelatnosti iznose</w:t>
      </w:r>
      <w:r w:rsidR="00EE26BB" w:rsidRPr="00EE26BB">
        <w:rPr>
          <w:rFonts w:eastAsiaTheme="minorHAnsi"/>
          <w:lang w:eastAsia="en-US"/>
        </w:rPr>
        <w:t xml:space="preserve"> 29.601.498,65</w:t>
      </w:r>
      <w:r w:rsidRPr="00EE26BB">
        <w:rPr>
          <w:rFonts w:eastAsiaTheme="minorHAnsi"/>
          <w:lang w:eastAsia="en-US"/>
        </w:rPr>
        <w:t xml:space="preserve"> kn što je </w:t>
      </w:r>
      <w:r w:rsidR="00EE26BB" w:rsidRPr="00EE26BB">
        <w:rPr>
          <w:rFonts w:eastAsiaTheme="minorHAnsi"/>
          <w:lang w:eastAsia="en-US"/>
        </w:rPr>
        <w:t>povećanje</w:t>
      </w:r>
      <w:r w:rsidRPr="00EE26BB">
        <w:rPr>
          <w:rFonts w:eastAsiaTheme="minorHAnsi"/>
          <w:lang w:eastAsia="en-US"/>
        </w:rPr>
        <w:t xml:space="preserve"> u odnosu na isto razdoblje u 20</w:t>
      </w:r>
      <w:r w:rsidR="004E44DF" w:rsidRPr="00EE26BB">
        <w:rPr>
          <w:rFonts w:eastAsiaTheme="minorHAnsi"/>
          <w:lang w:eastAsia="en-US"/>
        </w:rPr>
        <w:t>2</w:t>
      </w:r>
      <w:r w:rsidR="00EE26BB" w:rsidRPr="00EE26BB">
        <w:rPr>
          <w:rFonts w:eastAsiaTheme="minorHAnsi"/>
          <w:lang w:eastAsia="en-US"/>
        </w:rPr>
        <w:t>1</w:t>
      </w:r>
      <w:r w:rsidRPr="00EE26BB">
        <w:rPr>
          <w:rFonts w:eastAsiaTheme="minorHAnsi"/>
          <w:lang w:eastAsia="en-US"/>
        </w:rPr>
        <w:t xml:space="preserve">. godini kada su isti iznosili </w:t>
      </w:r>
      <w:r w:rsidR="00EE26BB" w:rsidRPr="00EE26BB">
        <w:rPr>
          <w:rFonts w:eastAsiaTheme="minorHAnsi"/>
          <w:lang w:eastAsia="en-US"/>
        </w:rPr>
        <w:t>8.699.593</w:t>
      </w:r>
      <w:r w:rsidR="00614504" w:rsidRPr="00EE26BB">
        <w:rPr>
          <w:rFonts w:eastAsiaTheme="minorHAnsi"/>
          <w:lang w:eastAsia="en-US"/>
        </w:rPr>
        <w:t>,00</w:t>
      </w:r>
      <w:r w:rsidR="00BC0BF6" w:rsidRPr="00EE26BB">
        <w:rPr>
          <w:rFonts w:eastAsiaTheme="minorHAnsi"/>
          <w:lang w:eastAsia="en-US"/>
        </w:rPr>
        <w:t xml:space="preserve"> kn</w:t>
      </w:r>
      <w:r w:rsidRPr="00EE26BB">
        <w:rPr>
          <w:rFonts w:eastAsiaTheme="minorHAnsi"/>
          <w:lang w:eastAsia="en-US"/>
        </w:rPr>
        <w:t xml:space="preserve">. Navedeni prihodi sastoje se od  prihoda za financiranje rashoda poslovanja i prihoda za financiranje rashoda za nabavu nefinancijske imovine. </w:t>
      </w:r>
      <w:r w:rsidR="00B60BE0">
        <w:rPr>
          <w:rFonts w:eastAsiaTheme="minorHAnsi"/>
          <w:lang w:eastAsia="en-US"/>
        </w:rPr>
        <w:br/>
      </w:r>
    </w:p>
    <w:p w14:paraId="4287A15E" w14:textId="68421731" w:rsidR="00B60BE0" w:rsidRDefault="00EE26BB" w:rsidP="00EE26BB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="003212E1" w:rsidRPr="00EE26BB">
        <w:rPr>
          <w:rFonts w:eastAsiaTheme="minorHAnsi"/>
          <w:lang w:eastAsia="en-US"/>
        </w:rPr>
        <w:t>rihodi za financiranje rashoda poslovanja</w:t>
      </w:r>
      <w:r>
        <w:rPr>
          <w:rFonts w:eastAsiaTheme="minorHAnsi"/>
          <w:lang w:eastAsia="en-US"/>
        </w:rPr>
        <w:t xml:space="preserve"> u 2022. godini </w:t>
      </w:r>
      <w:r w:rsidR="003212E1" w:rsidRPr="00EE26BB">
        <w:rPr>
          <w:rFonts w:eastAsiaTheme="minorHAnsi"/>
          <w:lang w:eastAsia="en-US"/>
        </w:rPr>
        <w:t xml:space="preserve"> iznose </w:t>
      </w:r>
      <w:r w:rsidR="00B60BE0">
        <w:rPr>
          <w:rFonts w:eastAsiaTheme="minorHAnsi"/>
          <w:lang w:eastAsia="en-US"/>
        </w:rPr>
        <w:t xml:space="preserve">29.432.487,53 </w:t>
      </w:r>
      <w:r w:rsidR="003212E1" w:rsidRPr="00EE26BB">
        <w:rPr>
          <w:rFonts w:eastAsiaTheme="minorHAnsi"/>
          <w:lang w:eastAsia="en-US"/>
        </w:rPr>
        <w:t>k</w:t>
      </w:r>
      <w:r w:rsidR="00BC0BF6" w:rsidRPr="00EE26BB">
        <w:rPr>
          <w:rFonts w:eastAsiaTheme="minorHAnsi"/>
          <w:lang w:eastAsia="en-US"/>
        </w:rPr>
        <w:t xml:space="preserve">n (u strukturi ukupnih </w:t>
      </w:r>
      <w:r w:rsidR="00284F19" w:rsidRPr="00EE26BB">
        <w:rPr>
          <w:rFonts w:eastAsiaTheme="minorHAnsi"/>
          <w:lang w:eastAsia="en-US"/>
        </w:rPr>
        <w:t xml:space="preserve">prihoda </w:t>
      </w:r>
      <w:r w:rsidR="00B60BE0">
        <w:rPr>
          <w:rFonts w:eastAsiaTheme="minorHAnsi"/>
          <w:lang w:eastAsia="en-US"/>
        </w:rPr>
        <w:t xml:space="preserve">79 </w:t>
      </w:r>
      <w:r w:rsidR="003212E1" w:rsidRPr="00EE26BB">
        <w:rPr>
          <w:rFonts w:eastAsiaTheme="minorHAnsi"/>
          <w:lang w:eastAsia="en-US"/>
        </w:rPr>
        <w:t xml:space="preserve">%), što čini </w:t>
      </w:r>
      <w:r w:rsidR="00B60BE0">
        <w:rPr>
          <w:rFonts w:eastAsiaTheme="minorHAnsi"/>
          <w:lang w:eastAsia="en-US"/>
        </w:rPr>
        <w:t>poveća</w:t>
      </w:r>
      <w:r w:rsidR="00284F19" w:rsidRPr="00EE26BB">
        <w:rPr>
          <w:rFonts w:eastAsiaTheme="minorHAnsi"/>
          <w:lang w:eastAsia="en-US"/>
        </w:rPr>
        <w:t xml:space="preserve">nje </w:t>
      </w:r>
      <w:r w:rsidR="003212E1" w:rsidRPr="00EE26BB">
        <w:rPr>
          <w:rFonts w:eastAsiaTheme="minorHAnsi"/>
          <w:lang w:eastAsia="en-US"/>
        </w:rPr>
        <w:t>u</w:t>
      </w:r>
      <w:r w:rsidR="00614504" w:rsidRPr="00EE26BB">
        <w:rPr>
          <w:rFonts w:eastAsiaTheme="minorHAnsi"/>
          <w:lang w:eastAsia="en-US"/>
        </w:rPr>
        <w:t xml:space="preserve"> odnosu na isto razdoblje u 20</w:t>
      </w:r>
      <w:r w:rsidR="00604B27" w:rsidRPr="00EE26BB">
        <w:rPr>
          <w:rFonts w:eastAsiaTheme="minorHAnsi"/>
          <w:lang w:eastAsia="en-US"/>
        </w:rPr>
        <w:t>2</w:t>
      </w:r>
      <w:r w:rsidR="00B60BE0">
        <w:rPr>
          <w:rFonts w:eastAsiaTheme="minorHAnsi"/>
          <w:lang w:eastAsia="en-US"/>
        </w:rPr>
        <w:t>1.</w:t>
      </w:r>
      <w:r w:rsidR="003212E1" w:rsidRPr="00EE26BB">
        <w:rPr>
          <w:rFonts w:eastAsiaTheme="minorHAnsi"/>
          <w:lang w:eastAsia="en-US"/>
        </w:rPr>
        <w:t xml:space="preserve"> godini kada su isti iznosili </w:t>
      </w:r>
      <w:r w:rsidR="00B60BE0">
        <w:rPr>
          <w:rFonts w:eastAsiaTheme="minorHAnsi"/>
          <w:lang w:eastAsia="en-US"/>
        </w:rPr>
        <w:t>8.381.397</w:t>
      </w:r>
      <w:r w:rsidR="00614504" w:rsidRPr="00EE26BB">
        <w:rPr>
          <w:rFonts w:eastAsiaTheme="minorHAnsi"/>
          <w:lang w:eastAsia="en-US"/>
        </w:rPr>
        <w:t>,00</w:t>
      </w:r>
      <w:r w:rsidR="003212E1" w:rsidRPr="00EE26BB">
        <w:rPr>
          <w:rFonts w:eastAsiaTheme="minorHAnsi"/>
          <w:lang w:eastAsia="en-US"/>
        </w:rPr>
        <w:t xml:space="preserve"> kn. Prihodi za financiranje rashoda poslovanja odnose se na prihode za financiranje rashoda za zaposlene, materijalnih rashoda i financijskih</w:t>
      </w:r>
      <w:r w:rsidR="00B60BE0">
        <w:rPr>
          <w:rFonts w:eastAsiaTheme="minorHAnsi"/>
          <w:lang w:eastAsia="en-US"/>
        </w:rPr>
        <w:t xml:space="preserve"> rashoda.</w:t>
      </w:r>
    </w:p>
    <w:p w14:paraId="4A8091A9" w14:textId="77777777" w:rsidR="00B60BE0" w:rsidRDefault="00B60BE0" w:rsidP="00B60BE0">
      <w:pPr>
        <w:pStyle w:val="Odlomakpopisa"/>
        <w:spacing w:after="160" w:line="259" w:lineRule="auto"/>
        <w:jc w:val="both"/>
        <w:rPr>
          <w:rFonts w:eastAsiaTheme="minorHAnsi"/>
          <w:lang w:eastAsia="en-US"/>
        </w:rPr>
      </w:pPr>
    </w:p>
    <w:p w14:paraId="7AA4272F" w14:textId="5301F4D9" w:rsidR="003212E1" w:rsidRPr="00EE26BB" w:rsidRDefault="003212E1" w:rsidP="00EE26BB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EE26BB">
        <w:rPr>
          <w:rFonts w:eastAsiaTheme="minorHAnsi"/>
          <w:lang w:eastAsia="en-US"/>
        </w:rPr>
        <w:t xml:space="preserve">Prihodi iz nadležnog proračuna za financiranje rashoda za nabavu nefinancijske imovine u promatranom razdoblju  iznose </w:t>
      </w:r>
      <w:r w:rsidR="00B60BE0">
        <w:rPr>
          <w:rFonts w:eastAsiaTheme="minorHAnsi"/>
          <w:lang w:eastAsia="en-US"/>
        </w:rPr>
        <w:t>169.011,12</w:t>
      </w:r>
      <w:r w:rsidRPr="00EE26BB">
        <w:rPr>
          <w:rFonts w:eastAsiaTheme="minorHAnsi"/>
          <w:lang w:eastAsia="en-US"/>
        </w:rPr>
        <w:t xml:space="preserve"> kn ( u strukturi ukupnih prihoda </w:t>
      </w:r>
      <w:r w:rsidR="00B60BE0">
        <w:rPr>
          <w:rFonts w:eastAsiaTheme="minorHAnsi"/>
          <w:lang w:eastAsia="en-US"/>
        </w:rPr>
        <w:t>manje od 1</w:t>
      </w:r>
      <w:r w:rsidRPr="00EE26BB">
        <w:rPr>
          <w:rFonts w:eastAsiaTheme="minorHAnsi"/>
          <w:lang w:eastAsia="en-US"/>
        </w:rPr>
        <w:t xml:space="preserve">%), što čini </w:t>
      </w:r>
      <w:r w:rsidR="00B60BE0">
        <w:rPr>
          <w:rFonts w:eastAsiaTheme="minorHAnsi"/>
          <w:lang w:eastAsia="en-US"/>
        </w:rPr>
        <w:t>smanjenje</w:t>
      </w:r>
      <w:r w:rsidRPr="00EE26BB">
        <w:rPr>
          <w:rFonts w:eastAsiaTheme="minorHAnsi"/>
          <w:lang w:eastAsia="en-US"/>
        </w:rPr>
        <w:t xml:space="preserve"> u</w:t>
      </w:r>
      <w:r w:rsidR="00BC0BF6" w:rsidRPr="00EE26BB">
        <w:rPr>
          <w:rFonts w:eastAsiaTheme="minorHAnsi"/>
          <w:lang w:eastAsia="en-US"/>
        </w:rPr>
        <w:t xml:space="preserve"> odnosu na isto razdob</w:t>
      </w:r>
      <w:r w:rsidR="00614504" w:rsidRPr="00EE26BB">
        <w:rPr>
          <w:rFonts w:eastAsiaTheme="minorHAnsi"/>
          <w:lang w:eastAsia="en-US"/>
        </w:rPr>
        <w:t>lje u 20</w:t>
      </w:r>
      <w:r w:rsidR="00604B27" w:rsidRPr="00EE26BB">
        <w:rPr>
          <w:rFonts w:eastAsiaTheme="minorHAnsi"/>
          <w:lang w:eastAsia="en-US"/>
        </w:rPr>
        <w:t>2</w:t>
      </w:r>
      <w:r w:rsidR="00B60BE0">
        <w:rPr>
          <w:rFonts w:eastAsiaTheme="minorHAnsi"/>
          <w:lang w:eastAsia="en-US"/>
        </w:rPr>
        <w:t>1.</w:t>
      </w:r>
      <w:r w:rsidRPr="00EE26BB">
        <w:rPr>
          <w:rFonts w:eastAsiaTheme="minorHAnsi"/>
          <w:lang w:eastAsia="en-US"/>
        </w:rPr>
        <w:t xml:space="preserve"> godini kada su navedeni prihodi iznosili </w:t>
      </w:r>
      <w:r w:rsidR="00B60BE0">
        <w:rPr>
          <w:rFonts w:eastAsiaTheme="minorHAnsi"/>
          <w:lang w:eastAsia="en-US"/>
        </w:rPr>
        <w:t>318.196</w:t>
      </w:r>
      <w:r w:rsidR="00BC0BF6" w:rsidRPr="00EE26BB">
        <w:rPr>
          <w:rFonts w:eastAsiaTheme="minorHAnsi"/>
          <w:lang w:eastAsia="en-US"/>
        </w:rPr>
        <w:t>,00</w:t>
      </w:r>
      <w:r w:rsidRPr="00EE26BB">
        <w:rPr>
          <w:rFonts w:eastAsiaTheme="minorHAnsi"/>
          <w:lang w:eastAsia="en-US"/>
        </w:rPr>
        <w:t xml:space="preserve"> kn, a isti se odnose na prihode za financiranje nabave dugotrajne imovine, te dodatna ulaganja na građevinskim objektima.</w:t>
      </w:r>
    </w:p>
    <w:p w14:paraId="0FCF23D6" w14:textId="7A6141E1" w:rsidR="00EE26BB" w:rsidRDefault="00EE26BB" w:rsidP="00EE26BB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00295FF6" w14:textId="77777777" w:rsidR="005E51EA" w:rsidRDefault="005E51EA" w:rsidP="00EE26BB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06802007" w14:textId="77777777" w:rsidR="003212E1" w:rsidRPr="00873FF4" w:rsidRDefault="003212E1" w:rsidP="003212E1">
      <w:pPr>
        <w:pStyle w:val="Odlomakpopisa"/>
        <w:numPr>
          <w:ilvl w:val="0"/>
          <w:numId w:val="2"/>
        </w:numPr>
        <w:spacing w:after="160" w:line="259" w:lineRule="auto"/>
        <w:rPr>
          <w:rFonts w:eastAsiaTheme="minorHAnsi"/>
          <w:i/>
          <w:lang w:eastAsia="en-US"/>
        </w:rPr>
      </w:pPr>
      <w:r w:rsidRPr="00873FF4">
        <w:rPr>
          <w:rFonts w:eastAsiaTheme="minorHAnsi"/>
          <w:i/>
          <w:lang w:eastAsia="en-US"/>
        </w:rPr>
        <w:t>Struktura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79"/>
        <w:gridCol w:w="1596"/>
        <w:gridCol w:w="1596"/>
        <w:gridCol w:w="961"/>
      </w:tblGrid>
      <w:tr w:rsidR="00604B27" w:rsidRPr="00873FF4" w14:paraId="60573C0A" w14:textId="77777777" w:rsidTr="00356E9D">
        <w:trPr>
          <w:trHeight w:val="686"/>
        </w:trPr>
        <w:tc>
          <w:tcPr>
            <w:tcW w:w="43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7C595A05" w14:textId="77777777" w:rsidR="00604B27" w:rsidRPr="00873FF4" w:rsidRDefault="00604B27" w:rsidP="00604B27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  <w:bookmarkStart w:id="0" w:name="_Hlk94192033"/>
          </w:p>
        </w:tc>
        <w:tc>
          <w:tcPr>
            <w:tcW w:w="15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677B29D3" w14:textId="00A0C8BF" w:rsidR="00604B27" w:rsidRDefault="00B60BE0" w:rsidP="00604B27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B60BE0">
              <w:rPr>
                <w:rFonts w:eastAsiaTheme="minorHAnsi"/>
                <w:b/>
                <w:lang w:eastAsia="en-US"/>
              </w:rPr>
              <w:t>01.01.2021.-31.12.2021.</w:t>
            </w:r>
          </w:p>
        </w:tc>
        <w:tc>
          <w:tcPr>
            <w:tcW w:w="15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3A9E8AB2" w14:textId="181DE749" w:rsidR="00604B27" w:rsidRPr="00873FF4" w:rsidRDefault="00604B27" w:rsidP="00604B27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01.01.202</w:t>
            </w:r>
            <w:r w:rsidR="00B60BE0"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b/>
                <w:lang w:eastAsia="en-US"/>
              </w:rPr>
              <w:t>.-31.12.202</w:t>
            </w:r>
            <w:r w:rsidR="00B60BE0"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9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F3BB337" w14:textId="77777777" w:rsidR="00604B27" w:rsidRPr="00873FF4" w:rsidRDefault="00604B27" w:rsidP="00604B27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73FF4">
              <w:rPr>
                <w:rFonts w:eastAsiaTheme="minorHAnsi"/>
                <w:b/>
                <w:lang w:eastAsia="en-US"/>
              </w:rPr>
              <w:t>Indeks</w:t>
            </w:r>
          </w:p>
        </w:tc>
      </w:tr>
      <w:tr w:rsidR="00604B27" w:rsidRPr="00873FF4" w14:paraId="1FCC7A74" w14:textId="77777777" w:rsidTr="00356E9D">
        <w:trPr>
          <w:trHeight w:val="456"/>
        </w:trPr>
        <w:tc>
          <w:tcPr>
            <w:tcW w:w="4379" w:type="dxa"/>
            <w:tcBorders>
              <w:top w:val="double" w:sz="4" w:space="0" w:color="auto"/>
              <w:left w:val="single" w:sz="12" w:space="0" w:color="auto"/>
            </w:tcBorders>
            <w:shd w:val="clear" w:color="auto" w:fill="F7CAAC" w:themeFill="accent2" w:themeFillTint="66"/>
          </w:tcPr>
          <w:p w14:paraId="0DA73D9A" w14:textId="652D33D5" w:rsidR="00604B27" w:rsidRPr="00873FF4" w:rsidRDefault="00604B27" w:rsidP="00604B27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73FF4">
              <w:rPr>
                <w:rFonts w:eastAsiaTheme="minorHAnsi"/>
                <w:b/>
                <w:lang w:eastAsia="en-US"/>
              </w:rPr>
              <w:t xml:space="preserve">PRIHODI POSLOVANJA </w:t>
            </w:r>
          </w:p>
        </w:tc>
        <w:tc>
          <w:tcPr>
            <w:tcW w:w="1596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14:paraId="59E4075D" w14:textId="289ED46A" w:rsidR="00604B27" w:rsidRDefault="00B60BE0" w:rsidP="00604B27">
            <w:pPr>
              <w:spacing w:after="16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15.442.653,00</w:t>
            </w:r>
          </w:p>
        </w:tc>
        <w:tc>
          <w:tcPr>
            <w:tcW w:w="1596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14:paraId="7B937EAB" w14:textId="372FC596" w:rsidR="00604B27" w:rsidRDefault="00B60BE0" w:rsidP="00604B27">
            <w:pPr>
              <w:spacing w:after="16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37.114.493,68</w:t>
            </w:r>
          </w:p>
        </w:tc>
        <w:tc>
          <w:tcPr>
            <w:tcW w:w="961" w:type="dxa"/>
            <w:tcBorders>
              <w:top w:val="doub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46F6041" w14:textId="15E9E47B" w:rsidR="00604B27" w:rsidRPr="00873FF4" w:rsidRDefault="00B60BE0" w:rsidP="00604B27">
            <w:pPr>
              <w:spacing w:after="16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240,3</w:t>
            </w:r>
          </w:p>
        </w:tc>
      </w:tr>
      <w:tr w:rsidR="00604B27" w:rsidRPr="00873FF4" w14:paraId="6DA4A7F3" w14:textId="77777777" w:rsidTr="00356E9D">
        <w:tc>
          <w:tcPr>
            <w:tcW w:w="4379" w:type="dxa"/>
            <w:tcBorders>
              <w:left w:val="single" w:sz="12" w:space="0" w:color="auto"/>
            </w:tcBorders>
          </w:tcPr>
          <w:p w14:paraId="028269A5" w14:textId="122A6C71" w:rsidR="00604B27" w:rsidRPr="001811EC" w:rsidRDefault="00604B27" w:rsidP="00604B2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811EC">
              <w:rPr>
                <w:rFonts w:eastAsiaTheme="minorHAnsi"/>
                <w:lang w:eastAsia="en-US"/>
              </w:rPr>
              <w:t xml:space="preserve">Tekuće pomoći </w:t>
            </w:r>
            <w:r>
              <w:rPr>
                <w:rFonts w:eastAsiaTheme="minorHAnsi"/>
                <w:lang w:eastAsia="en-US"/>
              </w:rPr>
              <w:t>od institucija i tijela EU</w:t>
            </w:r>
            <w:r w:rsidRPr="001811E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96" w:type="dxa"/>
          </w:tcPr>
          <w:p w14:paraId="16AD6FFC" w14:textId="204343CF" w:rsidR="00604B27" w:rsidRDefault="00B60BE0" w:rsidP="00604B2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6.542.579,00</w:t>
            </w:r>
          </w:p>
        </w:tc>
        <w:tc>
          <w:tcPr>
            <w:tcW w:w="1596" w:type="dxa"/>
          </w:tcPr>
          <w:p w14:paraId="1B06B8FB" w14:textId="0E4E4DDC" w:rsidR="00604B27" w:rsidRDefault="00B60BE0" w:rsidP="00604B2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6.921.964,31</w:t>
            </w:r>
          </w:p>
        </w:tc>
        <w:tc>
          <w:tcPr>
            <w:tcW w:w="961" w:type="dxa"/>
            <w:tcBorders>
              <w:right w:val="single" w:sz="12" w:space="0" w:color="auto"/>
            </w:tcBorders>
          </w:tcPr>
          <w:p w14:paraId="6BF33E29" w14:textId="0456634F" w:rsidR="00604B27" w:rsidRPr="001811EC" w:rsidRDefault="00B60BE0" w:rsidP="00604B2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105,8</w:t>
            </w:r>
          </w:p>
        </w:tc>
      </w:tr>
      <w:tr w:rsidR="00604B27" w:rsidRPr="00873FF4" w14:paraId="673A4B1B" w14:textId="77777777" w:rsidTr="00356E9D">
        <w:tc>
          <w:tcPr>
            <w:tcW w:w="4379" w:type="dxa"/>
            <w:tcBorders>
              <w:left w:val="single" w:sz="12" w:space="0" w:color="auto"/>
            </w:tcBorders>
          </w:tcPr>
          <w:p w14:paraId="1988A17A" w14:textId="008EDA69" w:rsidR="00604B27" w:rsidRPr="00873E78" w:rsidRDefault="00604B27" w:rsidP="00604B2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73E78">
              <w:rPr>
                <w:rFonts w:eastAsiaTheme="minorHAnsi"/>
                <w:lang w:eastAsia="en-US"/>
              </w:rPr>
              <w:t xml:space="preserve">Prihodi od pruženih usluga </w:t>
            </w:r>
          </w:p>
        </w:tc>
        <w:tc>
          <w:tcPr>
            <w:tcW w:w="1596" w:type="dxa"/>
          </w:tcPr>
          <w:p w14:paraId="0E33181E" w14:textId="43E4BAB3" w:rsidR="00604B27" w:rsidRDefault="00B60BE0" w:rsidP="00604B2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200.481,00</w:t>
            </w:r>
          </w:p>
        </w:tc>
        <w:tc>
          <w:tcPr>
            <w:tcW w:w="1596" w:type="dxa"/>
          </w:tcPr>
          <w:p w14:paraId="1C8F30B8" w14:textId="16B34C53" w:rsidR="00604B27" w:rsidRDefault="00B60BE0" w:rsidP="00604B2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591.030,72</w:t>
            </w:r>
          </w:p>
        </w:tc>
        <w:tc>
          <w:tcPr>
            <w:tcW w:w="961" w:type="dxa"/>
            <w:tcBorders>
              <w:right w:val="single" w:sz="12" w:space="0" w:color="auto"/>
            </w:tcBorders>
          </w:tcPr>
          <w:p w14:paraId="3C4CBEA3" w14:textId="075CAC74" w:rsidR="00604B27" w:rsidRPr="00873E78" w:rsidRDefault="00B60BE0" w:rsidP="00604B2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294,8</w:t>
            </w:r>
          </w:p>
        </w:tc>
      </w:tr>
      <w:tr w:rsidR="00604B27" w:rsidRPr="00873FF4" w14:paraId="52128724" w14:textId="77777777" w:rsidTr="00356E9D">
        <w:tc>
          <w:tcPr>
            <w:tcW w:w="4379" w:type="dxa"/>
            <w:tcBorders>
              <w:left w:val="single" w:sz="12" w:space="0" w:color="auto"/>
            </w:tcBorders>
          </w:tcPr>
          <w:p w14:paraId="4260271F" w14:textId="035D99D5" w:rsidR="00604B27" w:rsidRPr="00BB673C" w:rsidRDefault="00604B27" w:rsidP="00604B2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Prihodi iz nadležnog proračuna i od HZZO-a na temelju ugovornih obveza </w:t>
            </w:r>
          </w:p>
        </w:tc>
        <w:tc>
          <w:tcPr>
            <w:tcW w:w="1596" w:type="dxa"/>
          </w:tcPr>
          <w:p w14:paraId="45BBA99D" w14:textId="46D58853" w:rsidR="00604B27" w:rsidRDefault="00B60BE0" w:rsidP="00604B2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8.699.593,00</w:t>
            </w:r>
          </w:p>
        </w:tc>
        <w:tc>
          <w:tcPr>
            <w:tcW w:w="1596" w:type="dxa"/>
          </w:tcPr>
          <w:p w14:paraId="3B4D879A" w14:textId="51AA6279" w:rsidR="00604B27" w:rsidRDefault="00B60BE0" w:rsidP="00604B2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29.601.498,65</w:t>
            </w:r>
          </w:p>
        </w:tc>
        <w:tc>
          <w:tcPr>
            <w:tcW w:w="961" w:type="dxa"/>
            <w:tcBorders>
              <w:right w:val="single" w:sz="12" w:space="0" w:color="auto"/>
            </w:tcBorders>
          </w:tcPr>
          <w:p w14:paraId="2857F9AF" w14:textId="2E46444F" w:rsidR="00604B27" w:rsidRDefault="00B60BE0" w:rsidP="00604B2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340,3</w:t>
            </w:r>
          </w:p>
        </w:tc>
      </w:tr>
      <w:bookmarkEnd w:id="0"/>
    </w:tbl>
    <w:p w14:paraId="2BD73E61" w14:textId="77777777" w:rsidR="003212E1" w:rsidRDefault="003212E1" w:rsidP="003212E1"/>
    <w:p w14:paraId="7B80E1F5" w14:textId="4160D896" w:rsidR="00BC0BF6" w:rsidRDefault="00BC0BF6" w:rsidP="00ED705B">
      <w:pPr>
        <w:rPr>
          <w:b/>
          <w:sz w:val="28"/>
          <w:szCs w:val="28"/>
        </w:rPr>
      </w:pPr>
    </w:p>
    <w:p w14:paraId="3B61C451" w14:textId="30B51864" w:rsidR="00B60BE0" w:rsidRDefault="00B60BE0" w:rsidP="00ED705B">
      <w:pPr>
        <w:rPr>
          <w:b/>
          <w:sz w:val="28"/>
          <w:szCs w:val="28"/>
        </w:rPr>
      </w:pPr>
    </w:p>
    <w:p w14:paraId="2E757A50" w14:textId="4EF6E49B" w:rsidR="00B60BE0" w:rsidRDefault="00B60BE0" w:rsidP="00ED705B">
      <w:pPr>
        <w:rPr>
          <w:b/>
          <w:sz w:val="28"/>
          <w:szCs w:val="28"/>
        </w:rPr>
      </w:pPr>
    </w:p>
    <w:p w14:paraId="70ACF183" w14:textId="35BA1B50" w:rsidR="00B60BE0" w:rsidRDefault="00B60BE0" w:rsidP="00ED705B">
      <w:pPr>
        <w:rPr>
          <w:b/>
          <w:sz w:val="28"/>
          <w:szCs w:val="28"/>
        </w:rPr>
      </w:pPr>
    </w:p>
    <w:p w14:paraId="3FB6951E" w14:textId="77777777" w:rsidR="00B60BE0" w:rsidRDefault="00B60BE0" w:rsidP="00ED705B">
      <w:pPr>
        <w:rPr>
          <w:b/>
          <w:sz w:val="28"/>
          <w:szCs w:val="28"/>
        </w:rPr>
      </w:pPr>
    </w:p>
    <w:p w14:paraId="5C484E9C" w14:textId="7177A0B5" w:rsidR="00B60BE0" w:rsidRDefault="00B60BE0" w:rsidP="00ED705B">
      <w:pPr>
        <w:rPr>
          <w:b/>
          <w:sz w:val="28"/>
          <w:szCs w:val="28"/>
        </w:rPr>
      </w:pPr>
    </w:p>
    <w:p w14:paraId="155D2FED" w14:textId="3304476D" w:rsidR="005E51EA" w:rsidRDefault="005E51EA" w:rsidP="00ED705B">
      <w:pPr>
        <w:rPr>
          <w:b/>
          <w:sz w:val="28"/>
          <w:szCs w:val="28"/>
        </w:rPr>
      </w:pPr>
    </w:p>
    <w:p w14:paraId="1A69623A" w14:textId="77777777" w:rsidR="00BC0BF6" w:rsidRDefault="00BC0BF6" w:rsidP="003212E1">
      <w:pPr>
        <w:ind w:left="360"/>
        <w:rPr>
          <w:b/>
          <w:sz w:val="28"/>
          <w:szCs w:val="28"/>
        </w:rPr>
      </w:pPr>
    </w:p>
    <w:p w14:paraId="57EA060A" w14:textId="160EAD56" w:rsidR="003212E1" w:rsidRPr="00614504" w:rsidRDefault="003212E1" w:rsidP="003212E1">
      <w:pPr>
        <w:ind w:left="360"/>
        <w:rPr>
          <w:b/>
          <w:color w:val="FF0000"/>
          <w:sz w:val="28"/>
          <w:szCs w:val="28"/>
        </w:rPr>
      </w:pPr>
      <w:r w:rsidRPr="00F752F7">
        <w:rPr>
          <w:b/>
          <w:sz w:val="28"/>
          <w:szCs w:val="28"/>
        </w:rPr>
        <w:lastRenderedPageBreak/>
        <w:t>RASHODI POSLOVANJA</w:t>
      </w:r>
      <w:r w:rsidR="00B60BE0">
        <w:rPr>
          <w:b/>
          <w:sz w:val="28"/>
          <w:szCs w:val="28"/>
        </w:rPr>
        <w:t xml:space="preserve"> </w:t>
      </w:r>
      <w:r w:rsidRPr="00F752F7">
        <w:rPr>
          <w:b/>
          <w:sz w:val="28"/>
          <w:szCs w:val="28"/>
        </w:rPr>
        <w:t>–</w:t>
      </w:r>
      <w:r w:rsidR="00B60BE0">
        <w:rPr>
          <w:b/>
          <w:sz w:val="28"/>
          <w:szCs w:val="28"/>
        </w:rPr>
        <w:t xml:space="preserve"> 36.380.479,84 </w:t>
      </w:r>
      <w:r w:rsidR="00284F19" w:rsidRPr="00284F19">
        <w:rPr>
          <w:b/>
          <w:sz w:val="28"/>
          <w:szCs w:val="28"/>
        </w:rPr>
        <w:t>kn</w:t>
      </w:r>
    </w:p>
    <w:p w14:paraId="47F68599" w14:textId="77777777" w:rsidR="003212E1" w:rsidRPr="00614504" w:rsidRDefault="003212E1" w:rsidP="003212E1">
      <w:pPr>
        <w:rPr>
          <w:color w:val="FF0000"/>
        </w:rPr>
      </w:pPr>
    </w:p>
    <w:p w14:paraId="577021DC" w14:textId="77777777" w:rsidR="003212E1" w:rsidRPr="009766E9" w:rsidRDefault="003212E1" w:rsidP="00284F19"/>
    <w:p w14:paraId="03CFE89D" w14:textId="7E571AAB" w:rsidR="003212E1" w:rsidRPr="009766E9" w:rsidRDefault="00614504" w:rsidP="0006216D">
      <w:pPr>
        <w:pStyle w:val="Odlomakpopisa"/>
        <w:numPr>
          <w:ilvl w:val="0"/>
          <w:numId w:val="2"/>
        </w:numPr>
        <w:ind w:left="360"/>
        <w:jc w:val="both"/>
      </w:pPr>
      <w:r>
        <w:t>Na dan 31.12.202</w:t>
      </w:r>
      <w:r w:rsidR="00B60BE0">
        <w:t>2</w:t>
      </w:r>
      <w:r w:rsidR="003212E1" w:rsidRPr="006C19DE">
        <w:t>.</w:t>
      </w:r>
      <w:r w:rsidR="007020BE">
        <w:t xml:space="preserve"> </w:t>
      </w:r>
      <w:r w:rsidR="002B58EF">
        <w:t xml:space="preserve">godine </w:t>
      </w:r>
      <w:r w:rsidR="003212E1" w:rsidRPr="006C19DE">
        <w:rPr>
          <w:b/>
          <w:i/>
          <w:u w:val="single"/>
        </w:rPr>
        <w:t>ukupni rashodi za zaposlene</w:t>
      </w:r>
      <w:r w:rsidR="00284F19">
        <w:rPr>
          <w:b/>
          <w:i/>
          <w:u w:val="single"/>
        </w:rPr>
        <w:t xml:space="preserve"> </w:t>
      </w:r>
      <w:r w:rsidR="003212E1" w:rsidRPr="00284F19">
        <w:t xml:space="preserve">iznose </w:t>
      </w:r>
      <w:r w:rsidR="00B60BE0">
        <w:t>4.219.751,14</w:t>
      </w:r>
      <w:r w:rsidR="003212E1" w:rsidRPr="00284F19">
        <w:t xml:space="preserve"> </w:t>
      </w:r>
      <w:r w:rsidR="003212E1" w:rsidRPr="00F752F7">
        <w:t>kn dok su isti na dan 31.12.20</w:t>
      </w:r>
      <w:r w:rsidR="00C014AF">
        <w:t>2</w:t>
      </w:r>
      <w:r w:rsidR="00B60BE0">
        <w:t>1</w:t>
      </w:r>
      <w:r w:rsidR="003212E1" w:rsidRPr="00F752F7">
        <w:t xml:space="preserve">. godine iznosili </w:t>
      </w:r>
      <w:r w:rsidR="00B60BE0">
        <w:t>4.049.067</w:t>
      </w:r>
      <w:r>
        <w:t>,00</w:t>
      </w:r>
      <w:r w:rsidR="003212E1" w:rsidRPr="00F752F7">
        <w:t xml:space="preserve"> kn. </w:t>
      </w:r>
      <w:r w:rsidR="003212E1" w:rsidRPr="009766E9">
        <w:t>Udio rashoda za zaposlene u ukupni</w:t>
      </w:r>
      <w:r w:rsidR="003212E1">
        <w:t xml:space="preserve">m rashodima poslovanja </w:t>
      </w:r>
      <w:r w:rsidR="003212E1" w:rsidRPr="00284F19">
        <w:t xml:space="preserve">iznosi </w:t>
      </w:r>
      <w:r w:rsidR="00380D78">
        <w:t>11</w:t>
      </w:r>
      <w:r w:rsidR="003212E1" w:rsidRPr="00284F19">
        <w:t xml:space="preserve">%, </w:t>
      </w:r>
      <w:r w:rsidR="003212E1" w:rsidRPr="009766E9">
        <w:t>a struktura rashoda za zaposlene je sljedeća:</w:t>
      </w:r>
    </w:p>
    <w:p w14:paraId="5A1B93E5" w14:textId="374E8D3D" w:rsidR="003212E1" w:rsidRPr="009766E9" w:rsidRDefault="003212E1" w:rsidP="0006216D">
      <w:pPr>
        <w:ind w:left="360"/>
        <w:jc w:val="both"/>
      </w:pPr>
      <w:r>
        <w:t>-</w:t>
      </w:r>
      <w:r w:rsidR="007020BE">
        <w:t xml:space="preserve"> </w:t>
      </w:r>
      <w:r>
        <w:t>plaće za redovan rad</w:t>
      </w:r>
      <w:r w:rsidR="007020BE">
        <w:t xml:space="preserve"> </w:t>
      </w:r>
      <w:r>
        <w:t xml:space="preserve">- </w:t>
      </w:r>
      <w:r w:rsidR="00380D78">
        <w:t xml:space="preserve">3.479.415,46 </w:t>
      </w:r>
      <w:r w:rsidRPr="00284F19">
        <w:t>kn,</w:t>
      </w:r>
    </w:p>
    <w:p w14:paraId="6F058F41" w14:textId="187A02DE" w:rsidR="003212E1" w:rsidRPr="00280104" w:rsidRDefault="003212E1" w:rsidP="0006216D">
      <w:pPr>
        <w:ind w:left="360"/>
        <w:jc w:val="both"/>
      </w:pPr>
      <w:r>
        <w:t>-</w:t>
      </w:r>
      <w:r w:rsidR="007020BE">
        <w:t xml:space="preserve"> </w:t>
      </w:r>
      <w:r>
        <w:t>ostali rashodi za zaposlene</w:t>
      </w:r>
      <w:r w:rsidR="007020BE">
        <w:t xml:space="preserve"> </w:t>
      </w:r>
      <w:r>
        <w:t xml:space="preserve">- </w:t>
      </w:r>
      <w:r w:rsidR="00380D78">
        <w:t>189.408,93</w:t>
      </w:r>
      <w:r w:rsidRPr="00284F19">
        <w:t xml:space="preserve"> </w:t>
      </w:r>
      <w:r w:rsidR="00284F19">
        <w:t>kn. Navedeni rashodi se odnose</w:t>
      </w:r>
      <w:r w:rsidRPr="00280104">
        <w:t xml:space="preserve"> na isplatu</w:t>
      </w:r>
      <w:r w:rsidR="00284F19">
        <w:t xml:space="preserve"> </w:t>
      </w:r>
      <w:r>
        <w:t>jubilarne nagrade, regresa, dara za dijete, božićnice</w:t>
      </w:r>
      <w:r w:rsidR="007020BE">
        <w:t xml:space="preserve">, </w:t>
      </w:r>
      <w:r w:rsidR="001819F5">
        <w:t>naknade za smrtni slučaj te jednokratne pomoći za rođenje djeteta</w:t>
      </w:r>
    </w:p>
    <w:p w14:paraId="1DF29E21" w14:textId="5F20FBE5" w:rsidR="003212E1" w:rsidRDefault="003212E1" w:rsidP="00970287">
      <w:pPr>
        <w:ind w:left="360"/>
        <w:jc w:val="both"/>
      </w:pPr>
      <w:r w:rsidRPr="009B5571">
        <w:t xml:space="preserve">- doprinosi za </w:t>
      </w:r>
      <w:r>
        <w:t>obvezno zdravstveno osiguranje</w:t>
      </w:r>
      <w:r w:rsidR="007020BE">
        <w:t xml:space="preserve"> </w:t>
      </w:r>
      <w:r w:rsidRPr="003858C2">
        <w:t xml:space="preserve">- </w:t>
      </w:r>
      <w:r w:rsidR="00380D78">
        <w:t>550.926,75</w:t>
      </w:r>
      <w:r w:rsidRPr="00284F19">
        <w:t xml:space="preserve"> </w:t>
      </w:r>
      <w:r w:rsidRPr="003858C2">
        <w:t>kn</w:t>
      </w:r>
      <w:r w:rsidR="00BB22A3">
        <w:t>.</w:t>
      </w:r>
    </w:p>
    <w:p w14:paraId="1AB12450" w14:textId="1BCCC037" w:rsidR="00380D78" w:rsidRDefault="00380D78" w:rsidP="00970287">
      <w:pPr>
        <w:ind w:left="360"/>
        <w:jc w:val="both"/>
      </w:pPr>
      <w:r>
        <w:t>Razlog povećanja navedenih rashoda je povećanje osnovice za obračun plaće i drugih materijalnih prava za službenike i namještenike u javnim službama</w:t>
      </w:r>
    </w:p>
    <w:p w14:paraId="7FA90877" w14:textId="77777777" w:rsidR="003212E1" w:rsidRPr="009B5571" w:rsidRDefault="003212E1" w:rsidP="0006216D">
      <w:pPr>
        <w:jc w:val="both"/>
      </w:pPr>
    </w:p>
    <w:p w14:paraId="12B6AB14" w14:textId="6EA7050F" w:rsidR="003212E1" w:rsidRPr="008C6C0A" w:rsidRDefault="003212E1" w:rsidP="0006216D">
      <w:pPr>
        <w:pStyle w:val="Odlomakpopisa"/>
        <w:numPr>
          <w:ilvl w:val="0"/>
          <w:numId w:val="2"/>
        </w:numPr>
        <w:ind w:left="360"/>
        <w:jc w:val="both"/>
      </w:pPr>
      <w:r w:rsidRPr="00325323">
        <w:t xml:space="preserve">Na </w:t>
      </w:r>
      <w:r w:rsidR="00614504">
        <w:t>dan 31.12.202</w:t>
      </w:r>
      <w:r w:rsidR="00380D78">
        <w:t>2</w:t>
      </w:r>
      <w:r w:rsidRPr="00325323">
        <w:t>.</w:t>
      </w:r>
      <w:r w:rsidR="007020BE">
        <w:t xml:space="preserve"> </w:t>
      </w:r>
      <w:r w:rsidR="007020BE" w:rsidRPr="007020BE">
        <w:t>godine</w:t>
      </w:r>
      <w:r w:rsidRPr="00325323">
        <w:t xml:space="preserve"> </w:t>
      </w:r>
      <w:r w:rsidRPr="00325323">
        <w:rPr>
          <w:b/>
          <w:i/>
          <w:u w:val="single"/>
        </w:rPr>
        <w:t>ukupni materijalni rashodi</w:t>
      </w:r>
      <w:r w:rsidRPr="00325323">
        <w:t xml:space="preserve"> </w:t>
      </w:r>
      <w:r w:rsidRPr="008C6C0A">
        <w:t xml:space="preserve">iznose </w:t>
      </w:r>
      <w:r w:rsidR="00380D78">
        <w:t xml:space="preserve">32.121.707,53 </w:t>
      </w:r>
      <w:r w:rsidRPr="008C6C0A">
        <w:t>kn dok su isti na dan 31.12.20</w:t>
      </w:r>
      <w:r w:rsidR="00970287">
        <w:t>2</w:t>
      </w:r>
      <w:r w:rsidR="00380D78">
        <w:t>1</w:t>
      </w:r>
      <w:r w:rsidRPr="008C6C0A">
        <w:t xml:space="preserve">. godine iznosili </w:t>
      </w:r>
      <w:r w:rsidR="00380D78">
        <w:t xml:space="preserve">11.124.770,00 </w:t>
      </w:r>
      <w:r w:rsidRPr="008C6C0A">
        <w:t xml:space="preserve">kn. Udio materijalnih rashoda u ukupnim rashodima poslovanja iznosi </w:t>
      </w:r>
      <w:r w:rsidR="00380D78">
        <w:t xml:space="preserve">88 </w:t>
      </w:r>
      <w:r w:rsidRPr="008C6C0A">
        <w:t xml:space="preserve">%, a struktura materijalnih rashoda je sljedeća : </w:t>
      </w:r>
    </w:p>
    <w:p w14:paraId="04CDDCD6" w14:textId="3D1ED324" w:rsidR="003212E1" w:rsidRDefault="003212E1" w:rsidP="0016262A">
      <w:pPr>
        <w:pStyle w:val="Odlomakpopisa"/>
        <w:ind w:left="708"/>
        <w:jc w:val="both"/>
      </w:pPr>
      <w:r w:rsidRPr="00255714">
        <w:t xml:space="preserve">- službena putovanja </w:t>
      </w:r>
      <w:r w:rsidR="0016262A">
        <w:t>24.8</w:t>
      </w:r>
      <w:r w:rsidR="00970287">
        <w:t>0</w:t>
      </w:r>
      <w:r w:rsidR="0016262A">
        <w:t>5</w:t>
      </w:r>
      <w:r w:rsidR="006509D0" w:rsidRPr="008C6C0A">
        <w:t>,</w:t>
      </w:r>
      <w:r w:rsidR="0016262A">
        <w:t>5</w:t>
      </w:r>
      <w:r w:rsidRPr="008C6C0A">
        <w:t xml:space="preserve">0 kn </w:t>
      </w:r>
      <w:r w:rsidRPr="003858C2">
        <w:t>–</w:t>
      </w:r>
      <w:r w:rsidR="0016262A" w:rsidRPr="0016262A">
        <w:t xml:space="preserve"> </w:t>
      </w:r>
      <w:r w:rsidR="007020BE">
        <w:t>r</w:t>
      </w:r>
      <w:r w:rsidR="0016262A" w:rsidRPr="0016262A">
        <w:t>azlog povećanja navedenih rashoda je ublažavanje COVID mjera te održavanje seminara, simpozija, poslovnih sastanaka što zahtjeva odlazak na službeno putovanje te podrazumijeva navedene troškove</w:t>
      </w:r>
    </w:p>
    <w:p w14:paraId="6F27CF62" w14:textId="77777777" w:rsidR="0016262A" w:rsidRPr="00255714" w:rsidRDefault="0016262A" w:rsidP="0016262A">
      <w:pPr>
        <w:pStyle w:val="Odlomakpopisa"/>
        <w:ind w:left="708"/>
        <w:jc w:val="both"/>
      </w:pPr>
    </w:p>
    <w:p w14:paraId="689DA48E" w14:textId="6296ED42" w:rsidR="003212E1" w:rsidRDefault="003212E1" w:rsidP="0016262A">
      <w:pPr>
        <w:pStyle w:val="Odlomakpopisa"/>
        <w:ind w:left="708"/>
        <w:jc w:val="both"/>
      </w:pPr>
      <w:r w:rsidRPr="00255714">
        <w:t xml:space="preserve">- naknade za prijevoz </w:t>
      </w:r>
      <w:r w:rsidR="0016262A">
        <w:t>225.332,89</w:t>
      </w:r>
      <w:r w:rsidRPr="008C6C0A">
        <w:t xml:space="preserve"> kn </w:t>
      </w:r>
      <w:r w:rsidRPr="00255714">
        <w:t>– odnosi se na prijevo</w:t>
      </w:r>
      <w:r w:rsidR="006509D0">
        <w:t>z djelatnika na posao i s posla</w:t>
      </w:r>
      <w:r w:rsidR="0016262A">
        <w:t>, a r</w:t>
      </w:r>
      <w:r w:rsidR="0016262A" w:rsidRPr="0016262A">
        <w:t>azlog povećanja navedenih rashoda je izmjena TKU-a temeljem koje je određeno da se naknada za prijevoz usklađuje</w:t>
      </w:r>
      <w:r w:rsidR="0016262A">
        <w:t xml:space="preserve"> </w:t>
      </w:r>
      <w:r w:rsidR="0016262A" w:rsidRPr="0016262A">
        <w:t>s kretanjem cijene goriva svakog posljednjeg utorka u mjesecu za umnožak postotka povećanja prosječne cijene goriva i faktora 0,7</w:t>
      </w:r>
      <w:r w:rsidR="007020BE">
        <w:t xml:space="preserve"> </w:t>
      </w:r>
      <w:r w:rsidR="0016262A" w:rsidRPr="0016262A">
        <w:t xml:space="preserve">ali samo ako se srednja cijena litre goriva Eurosuper 95 i </w:t>
      </w:r>
      <w:proofErr w:type="spellStart"/>
      <w:r w:rsidR="0016262A" w:rsidRPr="0016262A">
        <w:t>Eurodizel</w:t>
      </w:r>
      <w:proofErr w:type="spellEnd"/>
      <w:r w:rsidR="0016262A" w:rsidRPr="0016262A">
        <w:t>, promatrana svakog posljednjeg utorka u mjesecu promijeni za više od 10 % u usporedbi sa srednjom cijenom utvrđenom posljednjeg utorka u travnju 2022. godine, a koja iznosi 12,70 kuna (1,69 eura), odnosno ako bude niža od 11,43 kune (1,52 eura) ili viša od 13,97 kuna (1,85 eura)</w:t>
      </w:r>
    </w:p>
    <w:p w14:paraId="28210F00" w14:textId="77777777" w:rsidR="0016262A" w:rsidRPr="00255714" w:rsidRDefault="0016262A" w:rsidP="0016262A">
      <w:pPr>
        <w:pStyle w:val="Odlomakpopisa"/>
        <w:ind w:left="360" w:firstLine="348"/>
        <w:jc w:val="both"/>
      </w:pPr>
    </w:p>
    <w:p w14:paraId="02BEB8E0" w14:textId="5E377B5E" w:rsidR="003212E1" w:rsidRDefault="003212E1" w:rsidP="0016262A">
      <w:pPr>
        <w:pStyle w:val="Odlomakpopisa"/>
        <w:ind w:left="708"/>
        <w:jc w:val="both"/>
      </w:pPr>
      <w:r w:rsidRPr="00B259EE">
        <w:t>- stručno usavršavanje zaposlenika</w:t>
      </w:r>
      <w:r w:rsidR="007020BE">
        <w:t xml:space="preserve"> </w:t>
      </w:r>
      <w:r w:rsidR="0016262A">
        <w:t>19.519,60</w:t>
      </w:r>
      <w:r w:rsidR="007020BE">
        <w:t xml:space="preserve"> </w:t>
      </w:r>
      <w:r w:rsidRPr="008C6C0A">
        <w:t>kn</w:t>
      </w:r>
      <w:r w:rsidR="00236604">
        <w:t xml:space="preserve"> - </w:t>
      </w:r>
      <w:r w:rsidRPr="0057722D">
        <w:t>najvećim di</w:t>
      </w:r>
      <w:r w:rsidR="006509D0">
        <w:t xml:space="preserve">jelom odnosi </w:t>
      </w:r>
      <w:r w:rsidR="00236604">
        <w:t xml:space="preserve">se </w:t>
      </w:r>
      <w:r w:rsidR="006509D0">
        <w:t>na računovodstvene i</w:t>
      </w:r>
      <w:r w:rsidRPr="0057722D">
        <w:t xml:space="preserve"> pravne seminare, stručno usavrš</w:t>
      </w:r>
      <w:r>
        <w:t>a</w:t>
      </w:r>
      <w:r w:rsidR="006509D0">
        <w:t xml:space="preserve">vanje iz područja javne nabave te </w:t>
      </w:r>
      <w:r>
        <w:t>sem</w:t>
      </w:r>
      <w:r w:rsidR="006509D0">
        <w:t>inare vezano za zaštitu na radu</w:t>
      </w:r>
    </w:p>
    <w:p w14:paraId="662FF956" w14:textId="77777777" w:rsidR="0016262A" w:rsidRPr="0057722D" w:rsidRDefault="0016262A" w:rsidP="0016262A">
      <w:pPr>
        <w:pStyle w:val="Odlomakpopisa"/>
        <w:ind w:left="708"/>
        <w:jc w:val="both"/>
      </w:pPr>
    </w:p>
    <w:p w14:paraId="69C72251" w14:textId="1020FA04" w:rsidR="003212E1" w:rsidRPr="002E354E" w:rsidRDefault="003212E1" w:rsidP="0016262A">
      <w:pPr>
        <w:pStyle w:val="Odlomakpopisa"/>
        <w:ind w:left="360" w:firstLine="348"/>
        <w:jc w:val="both"/>
      </w:pPr>
      <w:r w:rsidRPr="002E354E">
        <w:t xml:space="preserve">- uredski materijal i ostali materijalni rashodi </w:t>
      </w:r>
      <w:r w:rsidR="0016262A">
        <w:t>66.611</w:t>
      </w:r>
      <w:r w:rsidR="006509D0" w:rsidRPr="008C6C0A">
        <w:t>,</w:t>
      </w:r>
      <w:r w:rsidR="0016262A">
        <w:t>4</w:t>
      </w:r>
      <w:r w:rsidR="006509D0" w:rsidRPr="008C6C0A">
        <w:t>0</w:t>
      </w:r>
      <w:r w:rsidRPr="008C6C0A">
        <w:t xml:space="preserve"> kn</w:t>
      </w:r>
      <w:r w:rsidR="00C61EBC">
        <w:rPr>
          <w:color w:val="FF0000"/>
        </w:rPr>
        <w:t xml:space="preserve"> </w:t>
      </w:r>
      <w:r w:rsidR="00C61EBC" w:rsidRPr="00C61EBC">
        <w:t>-</w:t>
      </w:r>
      <w:r w:rsidRPr="00614504">
        <w:rPr>
          <w:color w:val="FF0000"/>
        </w:rPr>
        <w:t xml:space="preserve"> </w:t>
      </w:r>
      <w:r>
        <w:t>najvećim dijelom se odnosi</w:t>
      </w:r>
    </w:p>
    <w:p w14:paraId="177C7F6E" w14:textId="4AA3CB71" w:rsidR="003212E1" w:rsidRDefault="008C6C0A" w:rsidP="0016262A">
      <w:pPr>
        <w:pStyle w:val="Odlomakpopisa"/>
        <w:ind w:left="708"/>
        <w:jc w:val="both"/>
      </w:pPr>
      <w:r>
        <w:t>na opskrbu uredskim materijalom, pretplate na stručnu literaturu,</w:t>
      </w:r>
      <w:r w:rsidR="003212E1" w:rsidRPr="002E354E">
        <w:t xml:space="preserve"> </w:t>
      </w:r>
      <w:r w:rsidRPr="008C6C0A">
        <w:t>materijal</w:t>
      </w:r>
      <w:r w:rsidR="006509D0" w:rsidRPr="008C6C0A">
        <w:t xml:space="preserve"> za higijenske potrepštine</w:t>
      </w:r>
      <w:r w:rsidR="003212E1" w:rsidRPr="008C6C0A">
        <w:t xml:space="preserve"> </w:t>
      </w:r>
      <w:r w:rsidRPr="008C6C0A">
        <w:t>te materijal za čišćenje i održavanje</w:t>
      </w:r>
      <w:r w:rsidR="0016262A">
        <w:t>, a do povećanja navedenih rashoda u odnosu na prošlu godinu došlo je zbog značajnog povećanja cijena nabavljenog materijala</w:t>
      </w:r>
    </w:p>
    <w:p w14:paraId="5A3AC577" w14:textId="77777777" w:rsidR="0016262A" w:rsidRPr="008C6C0A" w:rsidRDefault="0016262A" w:rsidP="0016262A">
      <w:pPr>
        <w:pStyle w:val="Odlomakpopisa"/>
        <w:ind w:left="708"/>
        <w:jc w:val="both"/>
      </w:pPr>
    </w:p>
    <w:p w14:paraId="1E316F10" w14:textId="5318ED5E" w:rsidR="003212E1" w:rsidRDefault="003212E1" w:rsidP="0016262A">
      <w:pPr>
        <w:pStyle w:val="Odlomakpopisa"/>
        <w:ind w:left="708"/>
        <w:jc w:val="both"/>
      </w:pPr>
      <w:r w:rsidRPr="008A5567">
        <w:t xml:space="preserve">- rashodi za energiju </w:t>
      </w:r>
      <w:r w:rsidR="0016262A">
        <w:t>906.943,02</w:t>
      </w:r>
      <w:r w:rsidRPr="008C6C0A">
        <w:t xml:space="preserve"> </w:t>
      </w:r>
      <w:r w:rsidRPr="00C61EBC">
        <w:t>kn</w:t>
      </w:r>
      <w:r w:rsidR="006509D0" w:rsidRPr="00C61EBC">
        <w:t xml:space="preserve"> </w:t>
      </w:r>
      <w:r w:rsidRPr="00C61EBC">
        <w:t xml:space="preserve">- </w:t>
      </w:r>
      <w:r w:rsidRPr="00E373B5">
        <w:t xml:space="preserve">najvećim se dijelom odnose na </w:t>
      </w:r>
      <w:r w:rsidR="008C6C0A" w:rsidRPr="00E373B5">
        <w:t>troškove električne energije i plina na lokacijama, a manji dio odnosi se na trošak goriva</w:t>
      </w:r>
      <w:r w:rsidR="0016262A">
        <w:t xml:space="preserve">. </w:t>
      </w:r>
      <w:r w:rsidR="0016262A" w:rsidRPr="0016262A">
        <w:t xml:space="preserve">Razlog povećanja </w:t>
      </w:r>
      <w:r w:rsidR="0016262A">
        <w:t xml:space="preserve">u odnosu na prošlu godinu </w:t>
      </w:r>
      <w:r w:rsidR="0016262A" w:rsidRPr="0016262A">
        <w:t>je povećanje cijena energenata</w:t>
      </w:r>
    </w:p>
    <w:p w14:paraId="0AF29067" w14:textId="77777777" w:rsidR="0016262A" w:rsidRPr="00E373B5" w:rsidRDefault="0016262A" w:rsidP="0016262A">
      <w:pPr>
        <w:pStyle w:val="Odlomakpopisa"/>
        <w:ind w:left="708"/>
        <w:jc w:val="both"/>
      </w:pPr>
    </w:p>
    <w:p w14:paraId="697E72F4" w14:textId="08C09C59" w:rsidR="003212E1" w:rsidRDefault="003212E1" w:rsidP="0016262A">
      <w:pPr>
        <w:pStyle w:val="Odlomakpopisa"/>
        <w:ind w:left="708"/>
        <w:jc w:val="both"/>
      </w:pPr>
      <w:r w:rsidRPr="005566B1">
        <w:t xml:space="preserve">- materijal i dijelovi za tekuće i investicijsko održavanje </w:t>
      </w:r>
      <w:r w:rsidR="0016262A">
        <w:t>51.431,08</w:t>
      </w:r>
      <w:r w:rsidRPr="00E373B5">
        <w:t xml:space="preserve"> </w:t>
      </w:r>
      <w:r w:rsidRPr="0057722D">
        <w:t>kn</w:t>
      </w:r>
      <w:r w:rsidR="00C61EBC">
        <w:t xml:space="preserve"> - n</w:t>
      </w:r>
      <w:r w:rsidRPr="00EF360B">
        <w:t>avedeni troškovi odnose se na materijal i dijelove za tekuće i investicijsko održavanje građevinskih objekata, postrojenja i opreme, transp</w:t>
      </w:r>
      <w:r w:rsidR="006509D0">
        <w:t>ortnih sredstava</w:t>
      </w:r>
      <w:r w:rsidR="00970287">
        <w:t xml:space="preserve">, a najveći dio odnosi se na materijal potreban za održavanje i </w:t>
      </w:r>
      <w:r w:rsidR="0053135D">
        <w:t>rekonstrukciju vanjskih eksponata</w:t>
      </w:r>
      <w:r w:rsidR="0016262A">
        <w:t xml:space="preserve">. </w:t>
      </w:r>
      <w:r w:rsidR="0016262A" w:rsidRPr="0016262A">
        <w:t>Povećanje je uslijedilo zbog nabave materijala potrebnog za održavanje vanjskih eksponata te materijala nužnog za redovno održavanje objekata, prijevoznih sredstava te strojeva i opreme MCDR Vukovar</w:t>
      </w:r>
    </w:p>
    <w:p w14:paraId="3E368CDD" w14:textId="77777777" w:rsidR="0016262A" w:rsidRPr="00EF360B" w:rsidRDefault="0016262A" w:rsidP="0016262A">
      <w:pPr>
        <w:pStyle w:val="Odlomakpopisa"/>
        <w:ind w:left="708"/>
        <w:jc w:val="both"/>
      </w:pPr>
    </w:p>
    <w:p w14:paraId="330CF90C" w14:textId="603AC431" w:rsidR="003212E1" w:rsidRDefault="003212E1" w:rsidP="004121F9">
      <w:pPr>
        <w:pStyle w:val="Odlomakpopisa"/>
        <w:ind w:left="708"/>
        <w:jc w:val="both"/>
      </w:pPr>
      <w:r w:rsidRPr="005566B1">
        <w:lastRenderedPageBreak/>
        <w:t xml:space="preserve">- sitni inventar i auto </w:t>
      </w:r>
      <w:r w:rsidRPr="00E373B5">
        <w:t xml:space="preserve">gume </w:t>
      </w:r>
      <w:r w:rsidR="004121F9">
        <w:t>61.521,68</w:t>
      </w:r>
      <w:r w:rsidRPr="00E373B5">
        <w:t xml:space="preserve"> </w:t>
      </w:r>
      <w:r w:rsidRPr="003858C2">
        <w:t>kn</w:t>
      </w:r>
      <w:r w:rsidR="00C61EBC">
        <w:t xml:space="preserve"> - n</w:t>
      </w:r>
      <w:r w:rsidRPr="00E373B5">
        <w:t>avedeni troškovi</w:t>
      </w:r>
      <w:r w:rsidR="0053135D">
        <w:t xml:space="preserve"> najvećim dijelom odnose se na nabavu sitnog inventara za potrebe hostela budući da je stari oštećen i dotraja</w:t>
      </w:r>
      <w:r w:rsidR="00C61EBC">
        <w:t>o</w:t>
      </w:r>
    </w:p>
    <w:p w14:paraId="027D6659" w14:textId="77777777" w:rsidR="004121F9" w:rsidRPr="008B6C2A" w:rsidRDefault="004121F9" w:rsidP="004121F9">
      <w:pPr>
        <w:pStyle w:val="Odlomakpopisa"/>
        <w:ind w:left="708"/>
        <w:jc w:val="both"/>
        <w:rPr>
          <w:color w:val="70AD47" w:themeColor="accent6"/>
        </w:rPr>
      </w:pPr>
    </w:p>
    <w:p w14:paraId="13BB053F" w14:textId="6C082D1D" w:rsidR="003212E1" w:rsidRDefault="003212E1" w:rsidP="004121F9">
      <w:pPr>
        <w:pStyle w:val="Odlomakpopisa"/>
        <w:ind w:left="708"/>
        <w:jc w:val="both"/>
      </w:pPr>
      <w:r>
        <w:t xml:space="preserve">- službena, radna i zaštitna odjeća i obuća </w:t>
      </w:r>
      <w:r w:rsidR="004121F9">
        <w:t>7.435,38</w:t>
      </w:r>
      <w:r w:rsidRPr="00E373B5">
        <w:t xml:space="preserve"> </w:t>
      </w:r>
      <w:r>
        <w:t>kn</w:t>
      </w:r>
      <w:r w:rsidR="00C61EBC">
        <w:t xml:space="preserve"> - </w:t>
      </w:r>
      <w:r>
        <w:t xml:space="preserve">odnosi se na </w:t>
      </w:r>
      <w:r w:rsidRPr="00E373B5">
        <w:t xml:space="preserve">nabavu službene </w:t>
      </w:r>
      <w:r>
        <w:t>i zaštitne odjeće i obuće za radnike na vanjskom uređenju u skladu sa zaštitom na radu</w:t>
      </w:r>
    </w:p>
    <w:p w14:paraId="6B98036F" w14:textId="77777777" w:rsidR="004121F9" w:rsidRDefault="004121F9" w:rsidP="004121F9">
      <w:pPr>
        <w:pStyle w:val="Odlomakpopisa"/>
        <w:ind w:left="708"/>
        <w:jc w:val="both"/>
      </w:pPr>
    </w:p>
    <w:p w14:paraId="08C50B18" w14:textId="5109A2F9" w:rsidR="003212E1" w:rsidRDefault="003212E1" w:rsidP="004121F9">
      <w:pPr>
        <w:pStyle w:val="Odlomakpopisa"/>
        <w:ind w:left="708"/>
        <w:jc w:val="both"/>
      </w:pPr>
      <w:r>
        <w:t xml:space="preserve">- usluge telefona, pošte, prijevoza </w:t>
      </w:r>
      <w:r w:rsidR="004121F9">
        <w:t>91.193,96</w:t>
      </w:r>
      <w:r w:rsidRPr="00E373B5">
        <w:t xml:space="preserve"> </w:t>
      </w:r>
      <w:r>
        <w:t>kn</w:t>
      </w:r>
      <w:r w:rsidR="00380742">
        <w:t xml:space="preserve"> - navedeni troškovi odnose se na kontinuirane troškove mobilnih telefona, fiksnih telefona, interneta i poštarine</w:t>
      </w:r>
    </w:p>
    <w:p w14:paraId="79BE008C" w14:textId="77777777" w:rsidR="004121F9" w:rsidRDefault="004121F9" w:rsidP="004121F9">
      <w:pPr>
        <w:pStyle w:val="Odlomakpopisa"/>
        <w:ind w:left="708"/>
        <w:jc w:val="both"/>
      </w:pPr>
    </w:p>
    <w:p w14:paraId="0A475CF5" w14:textId="00A04A8D" w:rsidR="0025172C" w:rsidRDefault="003212E1" w:rsidP="004121F9">
      <w:pPr>
        <w:pStyle w:val="Odlomakpopisa"/>
        <w:ind w:left="708"/>
        <w:jc w:val="both"/>
      </w:pPr>
      <w:r w:rsidRPr="00B05FA8">
        <w:t>- usluge tekućeg i investicijskog održavanja</w:t>
      </w:r>
      <w:r>
        <w:rPr>
          <w:color w:val="FF0000"/>
        </w:rPr>
        <w:t xml:space="preserve"> </w:t>
      </w:r>
      <w:r w:rsidR="004121F9">
        <w:t>282.208,88</w:t>
      </w:r>
      <w:r w:rsidRPr="00E373B5">
        <w:t xml:space="preserve"> </w:t>
      </w:r>
      <w:r>
        <w:t>kn</w:t>
      </w:r>
      <w:r w:rsidR="00E927E6">
        <w:t xml:space="preserve"> </w:t>
      </w:r>
      <w:r w:rsidR="0053135D">
        <w:t>–</w:t>
      </w:r>
      <w:r>
        <w:t xml:space="preserve"> </w:t>
      </w:r>
      <w:r w:rsidR="0053135D">
        <w:t>navedeni troškovi</w:t>
      </w:r>
      <w:r w:rsidRPr="0025172C">
        <w:t xml:space="preserve"> odnos</w:t>
      </w:r>
      <w:r w:rsidR="0053135D">
        <w:t>e</w:t>
      </w:r>
      <w:r w:rsidRPr="0025172C">
        <w:t xml:space="preserve"> se </w:t>
      </w:r>
      <w:r w:rsidR="0025172C" w:rsidRPr="0025172C">
        <w:t>na redovna mjesečna i godišnja održavanja</w:t>
      </w:r>
      <w:r w:rsidR="007020BE">
        <w:t xml:space="preserve">: </w:t>
      </w:r>
      <w:r w:rsidRPr="0025172C">
        <w:t>održavanje dizala, servisiranje klima uređaja</w:t>
      </w:r>
      <w:r w:rsidRPr="00FB635C">
        <w:t xml:space="preserve">, održavanje sustava vatrodojave i </w:t>
      </w:r>
      <w:proofErr w:type="spellStart"/>
      <w:r w:rsidRPr="00FB635C">
        <w:t>plino</w:t>
      </w:r>
      <w:proofErr w:type="spellEnd"/>
      <w:r w:rsidR="00E927E6">
        <w:t xml:space="preserve"> </w:t>
      </w:r>
      <w:r w:rsidRPr="00FB635C">
        <w:t>detekcije, servis plinskog kotla, održavanje rashladnog agregata, održavanje kotlovnice</w:t>
      </w:r>
      <w:r w:rsidR="00E927E6">
        <w:t>, servis i popravak prijevoznih sredstava</w:t>
      </w:r>
    </w:p>
    <w:p w14:paraId="5C255A03" w14:textId="77777777" w:rsidR="004121F9" w:rsidRDefault="004121F9" w:rsidP="004121F9">
      <w:pPr>
        <w:pStyle w:val="Odlomakpopisa"/>
        <w:ind w:left="708"/>
        <w:jc w:val="both"/>
      </w:pPr>
    </w:p>
    <w:p w14:paraId="6EC5D02F" w14:textId="21678A69" w:rsidR="003212E1" w:rsidRDefault="003212E1" w:rsidP="004121F9">
      <w:pPr>
        <w:pStyle w:val="Odlomakpopisa"/>
        <w:ind w:left="708"/>
        <w:jc w:val="both"/>
      </w:pPr>
      <w:r>
        <w:t xml:space="preserve">- usluge promidžbe i informiranja </w:t>
      </w:r>
      <w:r w:rsidR="005D1A69">
        <w:t>4</w:t>
      </w:r>
      <w:r w:rsidR="004121F9">
        <w:t>9.690</w:t>
      </w:r>
      <w:r w:rsidR="00E927E6" w:rsidRPr="0025172C">
        <w:t>,</w:t>
      </w:r>
      <w:r w:rsidR="004121F9">
        <w:t>5</w:t>
      </w:r>
      <w:r w:rsidR="00E927E6" w:rsidRPr="0025172C">
        <w:t>0</w:t>
      </w:r>
      <w:r w:rsidRPr="0025172C">
        <w:t xml:space="preserve"> kn</w:t>
      </w:r>
      <w:r w:rsidR="00C61EBC">
        <w:t xml:space="preserve"> </w:t>
      </w:r>
      <w:r>
        <w:t>- odnosi se najvećim dijelom</w:t>
      </w:r>
      <w:r w:rsidR="00E927E6">
        <w:t xml:space="preserve"> na </w:t>
      </w:r>
      <w:r>
        <w:t xml:space="preserve">nabavu promidžbenog materijala, </w:t>
      </w:r>
      <w:r w:rsidR="0025172C">
        <w:t xml:space="preserve">objave </w:t>
      </w:r>
      <w:r>
        <w:t>prigodnih čestitki i ostalih s</w:t>
      </w:r>
      <w:r w:rsidR="00E927E6">
        <w:t>adržaja u novinama i na radiju</w:t>
      </w:r>
    </w:p>
    <w:p w14:paraId="7C46544B" w14:textId="77777777" w:rsidR="004121F9" w:rsidRDefault="004121F9" w:rsidP="004121F9">
      <w:pPr>
        <w:pStyle w:val="Odlomakpopisa"/>
        <w:ind w:left="708"/>
        <w:jc w:val="both"/>
      </w:pPr>
    </w:p>
    <w:p w14:paraId="35D08938" w14:textId="1C35A794" w:rsidR="003212E1" w:rsidRDefault="003212E1" w:rsidP="004121F9">
      <w:pPr>
        <w:pStyle w:val="Odlomakpopisa"/>
        <w:ind w:left="708"/>
        <w:jc w:val="both"/>
      </w:pPr>
      <w:r>
        <w:t xml:space="preserve">- komunalne usluge </w:t>
      </w:r>
      <w:r w:rsidR="004121F9">
        <w:t>47.003,15</w:t>
      </w:r>
      <w:r w:rsidRPr="0025172C">
        <w:t xml:space="preserve"> </w:t>
      </w:r>
      <w:r>
        <w:t>kn –</w:t>
      </w:r>
      <w:r w:rsidR="0025172C">
        <w:t xml:space="preserve"> </w:t>
      </w:r>
      <w:r w:rsidR="00C61EBC">
        <w:t>o</w:t>
      </w:r>
      <w:r w:rsidR="00940A6B">
        <w:t xml:space="preserve">dnosi se na kontinuirane rashode, odvoz otpada i opskrbu vodom te </w:t>
      </w:r>
      <w:r w:rsidR="00E927E6">
        <w:t>dimnjačarske usluge</w:t>
      </w:r>
    </w:p>
    <w:p w14:paraId="344DABF2" w14:textId="77777777" w:rsidR="004121F9" w:rsidRPr="00FB635C" w:rsidRDefault="004121F9" w:rsidP="004121F9">
      <w:pPr>
        <w:pStyle w:val="Odlomakpopisa"/>
        <w:ind w:left="708"/>
        <w:jc w:val="both"/>
      </w:pPr>
    </w:p>
    <w:p w14:paraId="1C2D03C9" w14:textId="3CBB94CD" w:rsidR="003212E1" w:rsidRDefault="004121F9" w:rsidP="004121F9">
      <w:pPr>
        <w:ind w:left="708"/>
        <w:jc w:val="both"/>
      </w:pPr>
      <w:r>
        <w:t>- n</w:t>
      </w:r>
      <w:r w:rsidRPr="004121F9">
        <w:t>ajveći indeks ima stavka zakupnine i najamnine, odnosno najznačajnije povećanje je vidljivo upravo na navedenoj stavci. Ukupni rashodi za navedenu uslugu na dan 3</w:t>
      </w:r>
      <w:r>
        <w:t>1</w:t>
      </w:r>
      <w:r w:rsidRPr="004121F9">
        <w:t>.</w:t>
      </w:r>
      <w:r>
        <w:t>12</w:t>
      </w:r>
      <w:r w:rsidRPr="004121F9">
        <w:t>.2022.</w:t>
      </w:r>
      <w:r w:rsidR="007020BE">
        <w:t xml:space="preserve"> godine</w:t>
      </w:r>
      <w:r w:rsidRPr="004121F9">
        <w:t xml:space="preserve"> iznose </w:t>
      </w:r>
      <w:r>
        <w:t>14.254.738,56</w:t>
      </w:r>
      <w:r w:rsidRPr="004121F9">
        <w:t xml:space="preserve"> kn što je povećanje u odnosu na isto razdoblje prethodne godine kada su isti iznosili </w:t>
      </w:r>
      <w:r>
        <w:t xml:space="preserve">531.904,00 </w:t>
      </w:r>
      <w:r w:rsidRPr="004121F9">
        <w:t xml:space="preserve">kn. Razlog povećanja navedenih rashoda je realizacija projekta </w:t>
      </w:r>
      <w:r w:rsidR="00137A7A">
        <w:t>„</w:t>
      </w:r>
      <w:r w:rsidRPr="004121F9">
        <w:t>Posjet učenika osmih razreda Vukovaru</w:t>
      </w:r>
      <w:r w:rsidR="00137A7A">
        <w:t>“</w:t>
      </w:r>
      <w:r w:rsidRPr="004121F9">
        <w:t>. Navedena usluga najvećim dijelom odnosi se na zakup prijevoza za nesmetano odvijanje projekta. U razdoblju od 01.01.2022. godine do 3</w:t>
      </w:r>
      <w:r>
        <w:t>1</w:t>
      </w:r>
      <w:r w:rsidRPr="004121F9">
        <w:t>.</w:t>
      </w:r>
      <w:r>
        <w:t>12</w:t>
      </w:r>
      <w:r w:rsidRPr="004121F9">
        <w:t xml:space="preserve">.2022. godine JU MCDR Vukovar posjetilo je </w:t>
      </w:r>
      <w:r w:rsidR="003440B4" w:rsidRPr="003440B4">
        <w:t>42670</w:t>
      </w:r>
      <w:r w:rsidRPr="003440B4">
        <w:t xml:space="preserve"> u</w:t>
      </w:r>
      <w:r w:rsidRPr="004121F9">
        <w:t xml:space="preserve">čenika i njihovih pratitelja. U istom razdoblju 2021. godine </w:t>
      </w:r>
      <w:r>
        <w:t xml:space="preserve">JU MCDR Vukovar posjetilo je </w:t>
      </w:r>
      <w:r w:rsidR="006C68F8">
        <w:t>6012</w:t>
      </w:r>
      <w:r>
        <w:t xml:space="preserve"> učenika i njihovih pratitelja</w:t>
      </w:r>
    </w:p>
    <w:p w14:paraId="52653478" w14:textId="77777777" w:rsidR="004121F9" w:rsidRDefault="004121F9" w:rsidP="004121F9">
      <w:pPr>
        <w:pStyle w:val="Odlomakpopisa"/>
        <w:ind w:left="708" w:hanging="348"/>
        <w:jc w:val="both"/>
      </w:pPr>
    </w:p>
    <w:p w14:paraId="2BEEE7AB" w14:textId="7F9E77AD" w:rsidR="001B271A" w:rsidRDefault="001B271A" w:rsidP="004121F9">
      <w:pPr>
        <w:pStyle w:val="Odlomakpopisa"/>
        <w:ind w:left="708"/>
        <w:jc w:val="both"/>
      </w:pPr>
      <w:r>
        <w:t xml:space="preserve">- </w:t>
      </w:r>
      <w:r w:rsidR="00C61EBC">
        <w:t>z</w:t>
      </w:r>
      <w:r>
        <w:t xml:space="preserve">dravstvene i veterinarske usluge </w:t>
      </w:r>
      <w:r w:rsidR="004121F9">
        <w:t>21.532,00</w:t>
      </w:r>
      <w:r>
        <w:t xml:space="preserve"> kn</w:t>
      </w:r>
      <w:r w:rsidR="00C61EBC">
        <w:t xml:space="preserve"> </w:t>
      </w:r>
      <w:r>
        <w:t xml:space="preserve">- najvećim dijelom odnosi se </w:t>
      </w:r>
      <w:r w:rsidR="003F3AE5">
        <w:t>na troškove testiranja na virus SARS-CoV-2</w:t>
      </w:r>
      <w:r w:rsidR="004121F9">
        <w:t>, a manjim dijelom na veterinarske usluge</w:t>
      </w:r>
    </w:p>
    <w:p w14:paraId="7FBC13BF" w14:textId="77777777" w:rsidR="004121F9" w:rsidRDefault="004121F9" w:rsidP="004121F9">
      <w:pPr>
        <w:pStyle w:val="Odlomakpopisa"/>
        <w:ind w:left="708"/>
        <w:jc w:val="both"/>
      </w:pPr>
    </w:p>
    <w:p w14:paraId="05F6F2B7" w14:textId="7D62171D" w:rsidR="0025172C" w:rsidRDefault="003212E1" w:rsidP="004121F9">
      <w:pPr>
        <w:pStyle w:val="Odlomakpopisa"/>
        <w:ind w:left="708"/>
        <w:jc w:val="both"/>
        <w:rPr>
          <w:color w:val="70AD47" w:themeColor="accent6"/>
        </w:rPr>
      </w:pPr>
      <w:r>
        <w:t xml:space="preserve">- </w:t>
      </w:r>
      <w:r w:rsidR="00C61EBC">
        <w:t>i</w:t>
      </w:r>
      <w:r>
        <w:t xml:space="preserve">ntelektualne i osobne usluge </w:t>
      </w:r>
      <w:r w:rsidR="004121F9">
        <w:t>8.196.406,18</w:t>
      </w:r>
      <w:r w:rsidR="00380742" w:rsidRPr="0025172C">
        <w:t xml:space="preserve"> </w:t>
      </w:r>
      <w:r w:rsidRPr="0025172C">
        <w:t>kn</w:t>
      </w:r>
      <w:r w:rsidR="00D87717" w:rsidRPr="0025172C">
        <w:t xml:space="preserve"> </w:t>
      </w:r>
      <w:r w:rsidRPr="00F86A77">
        <w:t>–</w:t>
      </w:r>
      <w:r w:rsidR="005D1A69">
        <w:t xml:space="preserve"> najvećim dijelom, u iznosu od </w:t>
      </w:r>
      <w:r w:rsidR="004121F9">
        <w:t>8.143.</w:t>
      </w:r>
      <w:r w:rsidR="006A56F5">
        <w:t>487,42</w:t>
      </w:r>
      <w:r w:rsidR="005D1A69">
        <w:t xml:space="preserve"> kn </w:t>
      </w:r>
      <w:r w:rsidR="00D87717">
        <w:t xml:space="preserve">odnosi se na financiranje projekta digitalizacija arhivskog gradiva iz Domovinskog rata. Zaključkom Vlade RH od 04. kolovoza 2017. godine Ministarstvo hrvatskih branitelja zaduženo je za koordinaciju i provođenje poslova digitalizacije arhivskog gradiva iz Domovinskog rata. Vlada RH je na sjednici održanoj 14. veljače 2019. godine donijela Zaključak o izmjeni i dopuni gore navedenog Zaključka kojim Ministarstvu hrvatskih branitelja partner u provedbi projekta digitalizacije arhivskog gradiva iz Domovinskog rata postaje i Javna ustanova ''Memorijalni centar Domovinskog rata Vukovar'' koja će angažirati do 100 vanjskih pružatelja usluga temeljem ugovora o djelu. Projekt se financira iz izvora 561 (85%) i izvora 12 (15%). </w:t>
      </w:r>
      <w:r w:rsidR="005D1A69">
        <w:t>Ostatak iznosa je utrošen na usluge odvjetnika</w:t>
      </w:r>
      <w:r w:rsidR="006A56F5">
        <w:t xml:space="preserve"> i revizije projekta odnosno usklađivanja cijena iz projekta za rekonstrukciju građevine napravljenog prethodnih godina s trenutnim tržišnim cijenama</w:t>
      </w:r>
    </w:p>
    <w:p w14:paraId="21104D76" w14:textId="77777777" w:rsidR="006A56F5" w:rsidRDefault="006A56F5" w:rsidP="0006216D">
      <w:pPr>
        <w:pStyle w:val="Odlomakpopisa"/>
        <w:ind w:left="360"/>
        <w:jc w:val="both"/>
      </w:pPr>
    </w:p>
    <w:p w14:paraId="6DCA0EE6" w14:textId="1BD2EF22" w:rsidR="003212E1" w:rsidRPr="0025172C" w:rsidRDefault="003212E1" w:rsidP="006A56F5">
      <w:pPr>
        <w:pStyle w:val="Odlomakpopisa"/>
        <w:ind w:left="708"/>
        <w:jc w:val="both"/>
      </w:pPr>
      <w:r>
        <w:t xml:space="preserve">- računalne </w:t>
      </w:r>
      <w:r w:rsidRPr="00ED705B">
        <w:t xml:space="preserve">usluge </w:t>
      </w:r>
      <w:r w:rsidR="006A56F5">
        <w:t>91.175,60</w:t>
      </w:r>
      <w:r w:rsidRPr="00ED705B">
        <w:t xml:space="preserve"> </w:t>
      </w:r>
      <w:r>
        <w:t>kn</w:t>
      </w:r>
      <w:r w:rsidR="00FD6BEE">
        <w:t xml:space="preserve"> - </w:t>
      </w:r>
      <w:r>
        <w:t xml:space="preserve">odnose se na mjesečno održavanje </w:t>
      </w:r>
      <w:r w:rsidR="00D87717">
        <w:t>ra</w:t>
      </w:r>
      <w:r w:rsidR="0025172C">
        <w:t xml:space="preserve">čunovodstvenog programa Konto, </w:t>
      </w:r>
      <w:r w:rsidR="00D87717">
        <w:t>održavanje web stranice ustanove</w:t>
      </w:r>
      <w:r w:rsidR="001B271A">
        <w:t xml:space="preserve">, </w:t>
      </w:r>
      <w:r w:rsidR="0025172C" w:rsidRPr="0025172C">
        <w:t xml:space="preserve">održavanje </w:t>
      </w:r>
      <w:r w:rsidR="00ED705B" w:rsidRPr="00ED705B">
        <w:t>muzejskog programa m++</w:t>
      </w:r>
      <w:r w:rsidR="001B271A">
        <w:t>, održavanje Pando Pad sustava i web hosting</w:t>
      </w:r>
      <w:r w:rsidR="006A56F5">
        <w:t>.</w:t>
      </w:r>
    </w:p>
    <w:p w14:paraId="7BAA8523" w14:textId="1A8E17F6" w:rsidR="003212E1" w:rsidRDefault="003212E1" w:rsidP="006A56F5">
      <w:pPr>
        <w:pStyle w:val="Odlomakpopisa"/>
        <w:ind w:left="708"/>
        <w:jc w:val="both"/>
      </w:pPr>
      <w:r w:rsidRPr="00CA1986">
        <w:t xml:space="preserve">- ostale usluge </w:t>
      </w:r>
      <w:r w:rsidR="006A56F5">
        <w:t>7.528.319,38</w:t>
      </w:r>
      <w:r w:rsidRPr="00ED705B">
        <w:t xml:space="preserve"> kn</w:t>
      </w:r>
      <w:r w:rsidR="00FD6BEE">
        <w:t xml:space="preserve"> - </w:t>
      </w:r>
      <w:r w:rsidRPr="00ED705B">
        <w:t xml:space="preserve">odnose se na troškove prehrane u projektu </w:t>
      </w:r>
      <w:r w:rsidRPr="00ED705B">
        <w:rPr>
          <w:rFonts w:eastAsiaTheme="minorHAnsi"/>
          <w:lang w:eastAsia="en-US"/>
        </w:rPr>
        <w:t>„Posjet učenika osmih razreda Vukovaru“</w:t>
      </w:r>
      <w:r w:rsidRPr="00ED705B">
        <w:t xml:space="preserve">, usluge čišćenja i pranja objekata i posteljine za potrebe </w:t>
      </w:r>
      <w:r w:rsidRPr="00ED705B">
        <w:lastRenderedPageBreak/>
        <w:t xml:space="preserve">provedbe projekta u hostelu Dubrovnik , troškove ulaznica </w:t>
      </w:r>
      <w:r w:rsidRPr="00CA1986">
        <w:t>za muzeje koji čine sastavni dio programa posjeta d</w:t>
      </w:r>
      <w:r w:rsidR="00D87717">
        <w:t>jece, usluge čuvanja imovine</w:t>
      </w:r>
      <w:r w:rsidR="003F3AE5">
        <w:t>,</w:t>
      </w:r>
      <w:r w:rsidR="00FD6BEE">
        <w:t xml:space="preserve"> te</w:t>
      </w:r>
      <w:r w:rsidR="003F3AE5">
        <w:t xml:space="preserve"> registracije službenih automobila</w:t>
      </w:r>
      <w:r w:rsidR="006A56F5">
        <w:t xml:space="preserve">. </w:t>
      </w:r>
      <w:r w:rsidR="006A56F5" w:rsidRPr="006A56F5">
        <w:t>Razlog</w:t>
      </w:r>
      <w:r w:rsidR="006A56F5">
        <w:t xml:space="preserve"> značajnog </w:t>
      </w:r>
      <w:r w:rsidR="006A56F5" w:rsidRPr="006A56F5">
        <w:t xml:space="preserve"> povećanja je provođenje projekta </w:t>
      </w:r>
      <w:r w:rsidR="00137A7A">
        <w:t>„</w:t>
      </w:r>
      <w:r w:rsidR="006A56F5" w:rsidRPr="006A56F5">
        <w:t>Posjet učenika osmih razreda Vukovaru</w:t>
      </w:r>
      <w:r w:rsidR="00137A7A">
        <w:t>“</w:t>
      </w:r>
      <w:r w:rsidR="006A56F5" w:rsidRPr="006A56F5">
        <w:t xml:space="preserve"> </w:t>
      </w:r>
      <w:r w:rsidR="006A56F5">
        <w:t>u punom obujmu za razliku od prethodne godine kada se navedeni projekt provodio u smanjenom obujmu</w:t>
      </w:r>
    </w:p>
    <w:p w14:paraId="63D2887C" w14:textId="77777777" w:rsidR="006A56F5" w:rsidRPr="00EE5031" w:rsidRDefault="006A56F5" w:rsidP="006A56F5">
      <w:pPr>
        <w:pStyle w:val="Odlomakpopisa"/>
        <w:ind w:left="708"/>
        <w:jc w:val="both"/>
      </w:pPr>
    </w:p>
    <w:p w14:paraId="72E268F0" w14:textId="71E2CAB0" w:rsidR="003212E1" w:rsidRPr="00F07605" w:rsidRDefault="003212E1" w:rsidP="006A56F5">
      <w:pPr>
        <w:ind w:firstLine="708"/>
        <w:jc w:val="both"/>
      </w:pPr>
      <w:r w:rsidRPr="00F07605">
        <w:t>- premije osiguranja</w:t>
      </w:r>
      <w:r>
        <w:t xml:space="preserve"> </w:t>
      </w:r>
      <w:r w:rsidR="003F3AE5">
        <w:t>33.</w:t>
      </w:r>
      <w:r w:rsidR="006A56F5">
        <w:t>135</w:t>
      </w:r>
      <w:r w:rsidR="00D87717" w:rsidRPr="00ED705B">
        <w:t>,</w:t>
      </w:r>
      <w:r w:rsidR="006A56F5">
        <w:t>91</w:t>
      </w:r>
      <w:r w:rsidRPr="00ED705B">
        <w:t xml:space="preserve"> </w:t>
      </w:r>
      <w:r>
        <w:t>kn</w:t>
      </w:r>
      <w:r w:rsidR="00FD6BEE">
        <w:t xml:space="preserve"> - </w:t>
      </w:r>
      <w:r>
        <w:t>odnosi se na police osiguranja</w:t>
      </w:r>
      <w:r w:rsidRPr="00F07605">
        <w:t xml:space="preserve"> službenih vozila i radnih </w:t>
      </w:r>
    </w:p>
    <w:p w14:paraId="72E0C289" w14:textId="0803FCBE" w:rsidR="003212E1" w:rsidRDefault="003212E1" w:rsidP="00C46566">
      <w:pPr>
        <w:ind w:left="660"/>
        <w:jc w:val="both"/>
      </w:pPr>
      <w:r w:rsidRPr="00F07605">
        <w:t>strojeva, osiguranje od požara,</w:t>
      </w:r>
      <w:r w:rsidR="00F67829">
        <w:t xml:space="preserve"> osiguranje gostiju hostela Dubrovnik, </w:t>
      </w:r>
      <w:r w:rsidRPr="00F07605">
        <w:t xml:space="preserve"> te osiguranje </w:t>
      </w:r>
      <w:r w:rsidR="006A56F5">
        <w:t xml:space="preserve">   </w:t>
      </w:r>
      <w:r w:rsidR="00C46566">
        <w:t xml:space="preserve">   </w:t>
      </w:r>
      <w:r w:rsidRPr="00F07605">
        <w:t>zaposlenih</w:t>
      </w:r>
    </w:p>
    <w:p w14:paraId="318CC539" w14:textId="77777777" w:rsidR="006A56F5" w:rsidRPr="00E106F0" w:rsidRDefault="006A56F5" w:rsidP="006A56F5">
      <w:pPr>
        <w:ind w:left="844"/>
        <w:jc w:val="both"/>
        <w:rPr>
          <w:b/>
          <w:color w:val="FF0000"/>
        </w:rPr>
      </w:pPr>
    </w:p>
    <w:p w14:paraId="2867EFB9" w14:textId="5348D503" w:rsidR="006A56F5" w:rsidRDefault="003212E1" w:rsidP="006A56F5">
      <w:pPr>
        <w:ind w:firstLine="708"/>
        <w:jc w:val="both"/>
      </w:pPr>
      <w:r w:rsidRPr="00DC5D3A">
        <w:t xml:space="preserve">- reprezentacija </w:t>
      </w:r>
      <w:r w:rsidR="006A56F5">
        <w:t>58.154,22</w:t>
      </w:r>
      <w:r w:rsidRPr="00ED705B">
        <w:t xml:space="preserve"> </w:t>
      </w:r>
      <w:r w:rsidRPr="006B4F8D">
        <w:t>kn</w:t>
      </w:r>
      <w:r w:rsidR="00FD6BEE">
        <w:t xml:space="preserve"> - </w:t>
      </w:r>
      <w:r w:rsidRPr="00DC5D3A">
        <w:t xml:space="preserve"> odnosi</w:t>
      </w:r>
      <w:r w:rsidR="00FD6BEE">
        <w:t xml:space="preserve"> se</w:t>
      </w:r>
      <w:r w:rsidRPr="00DC5D3A">
        <w:t xml:space="preserve"> na ugošć</w:t>
      </w:r>
      <w:r w:rsidR="00D87717">
        <w:t>avanj</w:t>
      </w:r>
      <w:r w:rsidRPr="00DC5D3A">
        <w:t xml:space="preserve">a </w:t>
      </w:r>
      <w:r w:rsidR="00A91003">
        <w:t xml:space="preserve">i darovanja poslovnih partnera   </w:t>
      </w:r>
    </w:p>
    <w:p w14:paraId="1EAE75AC" w14:textId="77777777" w:rsidR="006A56F5" w:rsidRDefault="00A91003" w:rsidP="006A56F5">
      <w:pPr>
        <w:ind w:left="284" w:hanging="284"/>
        <w:jc w:val="both"/>
        <w:rPr>
          <w:b/>
        </w:rPr>
      </w:pPr>
      <w:r>
        <w:t xml:space="preserve">    </w:t>
      </w:r>
    </w:p>
    <w:p w14:paraId="4CC3E5BE" w14:textId="2C20ABC2" w:rsidR="00A91003" w:rsidRPr="006A56F5" w:rsidRDefault="003212E1" w:rsidP="00C46566">
      <w:pPr>
        <w:ind w:left="708"/>
        <w:jc w:val="both"/>
        <w:rPr>
          <w:b/>
        </w:rPr>
      </w:pPr>
      <w:r w:rsidRPr="00DC5D3A">
        <w:t xml:space="preserve">- pristojbe i naknade </w:t>
      </w:r>
      <w:r w:rsidR="00C46566">
        <w:t>37.873,00</w:t>
      </w:r>
      <w:r w:rsidRPr="00ED705B">
        <w:t xml:space="preserve"> kn</w:t>
      </w:r>
      <w:r w:rsidR="00A91003" w:rsidRPr="00ED705B">
        <w:t xml:space="preserve"> - odnosi </w:t>
      </w:r>
      <w:r w:rsidR="00ED705B" w:rsidRPr="00ED705B">
        <w:t xml:space="preserve">se </w:t>
      </w:r>
      <w:r w:rsidR="00A91003" w:rsidRPr="00ED705B">
        <w:t xml:space="preserve">na </w:t>
      </w:r>
      <w:r w:rsidR="00D26AF7">
        <w:t>turističku</w:t>
      </w:r>
      <w:r w:rsidR="00A91003" w:rsidRPr="00ED705B">
        <w:t xml:space="preserve"> pristojbu sukladno ostvarenim noćenjima u hostelu Dubrovnik koji su plaćeni sa izvora 31</w:t>
      </w:r>
      <w:r w:rsidR="003F3AE5">
        <w:t xml:space="preserve"> te sudske pristojbe</w:t>
      </w:r>
    </w:p>
    <w:p w14:paraId="76C8792C" w14:textId="77777777" w:rsidR="006A56F5" w:rsidRDefault="006A56F5" w:rsidP="006A56F5">
      <w:pPr>
        <w:ind w:left="708" w:firstLine="57"/>
        <w:jc w:val="both"/>
      </w:pPr>
    </w:p>
    <w:p w14:paraId="5ACD45F3" w14:textId="1EF83ED1" w:rsidR="003F3AE5" w:rsidRDefault="003F3AE5" w:rsidP="00C46566">
      <w:pPr>
        <w:ind w:left="708"/>
        <w:jc w:val="both"/>
      </w:pPr>
      <w:r>
        <w:t xml:space="preserve">- troškovi sudskih postupaka </w:t>
      </w:r>
      <w:r w:rsidR="00C46566">
        <w:t>44.406</w:t>
      </w:r>
      <w:r>
        <w:t>,</w:t>
      </w:r>
      <w:r w:rsidR="00C46566">
        <w:t>25</w:t>
      </w:r>
      <w:r w:rsidR="00FD6BEE">
        <w:t xml:space="preserve"> kn</w:t>
      </w:r>
      <w:r>
        <w:t xml:space="preserve"> - odnosi se na </w:t>
      </w:r>
      <w:r w:rsidR="00C46566">
        <w:t>troškove sudskih postupaka djelatnika/ bivših djelatnika radi isplate razlike plaća za razdoblje veljača 2016. do siječanj 2017. godine</w:t>
      </w:r>
    </w:p>
    <w:p w14:paraId="11267C80" w14:textId="77777777" w:rsidR="00C46566" w:rsidRPr="00ED705B" w:rsidRDefault="00C46566" w:rsidP="00C46566">
      <w:pPr>
        <w:ind w:left="708"/>
        <w:jc w:val="both"/>
      </w:pPr>
    </w:p>
    <w:p w14:paraId="12518AD5" w14:textId="65BB789A" w:rsidR="00A91003" w:rsidRPr="00ED705B" w:rsidRDefault="003212E1" w:rsidP="00C46566">
      <w:pPr>
        <w:ind w:firstLine="708"/>
        <w:jc w:val="both"/>
      </w:pPr>
      <w:r w:rsidRPr="00ED705B">
        <w:t xml:space="preserve">- ostali nespomenuti rashodi poslovanja </w:t>
      </w:r>
      <w:r w:rsidR="00C46566">
        <w:t>22.269</w:t>
      </w:r>
      <w:r w:rsidRPr="00ED705B">
        <w:t>,</w:t>
      </w:r>
      <w:r w:rsidR="00C46566">
        <w:t>39</w:t>
      </w:r>
      <w:r w:rsidRPr="00ED705B">
        <w:t xml:space="preserve"> kn – odnose se na rashode protokola</w:t>
      </w:r>
    </w:p>
    <w:p w14:paraId="5D47DAEE" w14:textId="21598634" w:rsidR="008B6C2A" w:rsidRDefault="008B6C2A" w:rsidP="00C46566">
      <w:pPr>
        <w:ind w:left="708" w:firstLine="4"/>
        <w:jc w:val="both"/>
      </w:pPr>
      <w:r w:rsidRPr="00ED705B">
        <w:t>(</w:t>
      </w:r>
      <w:r w:rsidR="00A91003" w:rsidRPr="00ED705B">
        <w:t>v</w:t>
      </w:r>
      <w:r w:rsidR="003212E1" w:rsidRPr="00ED705B">
        <w:t>ijenci, svijeće, cvijeće i</w:t>
      </w:r>
      <w:r w:rsidR="00A91003" w:rsidRPr="00ED705B">
        <w:t xml:space="preserve"> sl. )</w:t>
      </w:r>
      <w:r w:rsidR="003212E1" w:rsidRPr="00ED705B">
        <w:t>, obilježavanje Da</w:t>
      </w:r>
      <w:r w:rsidR="00A91003" w:rsidRPr="00ED705B">
        <w:t xml:space="preserve">na </w:t>
      </w:r>
      <w:r w:rsidR="00A91003">
        <w:t xml:space="preserve">sjećanja na žrtvu Vukovara </w:t>
      </w:r>
      <w:r w:rsidR="003212E1">
        <w:t>i ostala</w:t>
      </w:r>
      <w:r>
        <w:t xml:space="preserve">   </w:t>
      </w:r>
      <w:r w:rsidR="003212E1">
        <w:t xml:space="preserve"> </w:t>
      </w:r>
      <w:r>
        <w:t xml:space="preserve">        </w:t>
      </w:r>
      <w:r w:rsidR="00ED705B">
        <w:t>obilježavanja obljetnica</w:t>
      </w:r>
    </w:p>
    <w:p w14:paraId="28A6B63A" w14:textId="77777777" w:rsidR="003212E1" w:rsidRPr="00E106F0" w:rsidRDefault="003212E1" w:rsidP="0006216D">
      <w:pPr>
        <w:jc w:val="both"/>
        <w:rPr>
          <w:color w:val="FF0000"/>
        </w:rPr>
      </w:pPr>
    </w:p>
    <w:p w14:paraId="6B7D1E70" w14:textId="7C69F8E1" w:rsidR="003212E1" w:rsidRPr="00C46566" w:rsidRDefault="003212E1" w:rsidP="00A02BBA">
      <w:pPr>
        <w:pStyle w:val="Odlomakpopisa"/>
        <w:numPr>
          <w:ilvl w:val="0"/>
          <w:numId w:val="2"/>
        </w:numPr>
        <w:jc w:val="both"/>
        <w:rPr>
          <w:color w:val="FF0000"/>
        </w:rPr>
      </w:pPr>
      <w:r w:rsidRPr="009F01CF">
        <w:t>N</w:t>
      </w:r>
      <w:r w:rsidR="008B6C2A">
        <w:t>a dan 31.12.202</w:t>
      </w:r>
      <w:r w:rsidR="00C46566">
        <w:t>2</w:t>
      </w:r>
      <w:r w:rsidRPr="009F01CF">
        <w:t xml:space="preserve">. </w:t>
      </w:r>
      <w:r>
        <w:t xml:space="preserve">godine </w:t>
      </w:r>
      <w:r w:rsidRPr="00C46566">
        <w:rPr>
          <w:b/>
          <w:i/>
          <w:u w:val="single"/>
        </w:rPr>
        <w:t>ukupni financijski rashodi</w:t>
      </w:r>
      <w:r w:rsidRPr="009F01CF">
        <w:t xml:space="preserve"> </w:t>
      </w:r>
      <w:r>
        <w:t xml:space="preserve">iznose </w:t>
      </w:r>
      <w:r w:rsidR="00C46566">
        <w:t>39.021,17</w:t>
      </w:r>
      <w:r w:rsidRPr="00ED705B">
        <w:t xml:space="preserve"> </w:t>
      </w:r>
      <w:r w:rsidR="008B6C2A">
        <w:t>kn dok su isti na dan 31.12.20</w:t>
      </w:r>
      <w:r w:rsidR="00FD6BEE">
        <w:t>2</w:t>
      </w:r>
      <w:r w:rsidR="00C46566">
        <w:t>1</w:t>
      </w:r>
      <w:r w:rsidRPr="00C31C73">
        <w:t xml:space="preserve">. godine iznosili </w:t>
      </w:r>
      <w:r w:rsidR="00C46566">
        <w:t>261.161,00</w:t>
      </w:r>
      <w:r w:rsidRPr="00C31C73">
        <w:t xml:space="preserve"> kn. Udio financijskih rashoda u ukupnim rashodima </w:t>
      </w:r>
      <w:r w:rsidR="00C46566">
        <w:t xml:space="preserve">manji od 1 </w:t>
      </w:r>
      <w:r w:rsidRPr="00C31C73">
        <w:t xml:space="preserve">%, a iznos se odnosi na </w:t>
      </w:r>
      <w:r w:rsidR="00685138">
        <w:t>zatezne kamate po sudskim presudama</w:t>
      </w:r>
    </w:p>
    <w:p w14:paraId="11522AD6" w14:textId="77777777" w:rsidR="00C46566" w:rsidRPr="00C46566" w:rsidRDefault="00C46566" w:rsidP="00C46566">
      <w:pPr>
        <w:pStyle w:val="Odlomakpopisa"/>
        <w:jc w:val="both"/>
        <w:rPr>
          <w:color w:val="FF0000"/>
        </w:rPr>
      </w:pPr>
    </w:p>
    <w:p w14:paraId="3A05A2E7" w14:textId="77777777" w:rsidR="003212E1" w:rsidRPr="005B3E54" w:rsidRDefault="003212E1" w:rsidP="003212E1">
      <w:pPr>
        <w:pStyle w:val="Odlomakpopisa"/>
        <w:numPr>
          <w:ilvl w:val="0"/>
          <w:numId w:val="2"/>
        </w:numPr>
        <w:rPr>
          <w:i/>
        </w:rPr>
      </w:pPr>
      <w:r w:rsidRPr="005B3E54">
        <w:rPr>
          <w:i/>
        </w:rPr>
        <w:t>Struktura</w:t>
      </w:r>
    </w:p>
    <w:p w14:paraId="05474745" w14:textId="77777777" w:rsidR="003212E1" w:rsidRPr="00D64A79" w:rsidRDefault="003212E1" w:rsidP="003212E1">
      <w:pPr>
        <w:ind w:left="360"/>
        <w:rPr>
          <w:color w:val="FF000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313"/>
        <w:gridCol w:w="2075"/>
        <w:gridCol w:w="2075"/>
        <w:gridCol w:w="951"/>
      </w:tblGrid>
      <w:tr w:rsidR="00685138" w:rsidRPr="00D64A79" w14:paraId="5C5C86B4" w14:textId="77777777" w:rsidTr="00C26CC6">
        <w:trPr>
          <w:trHeight w:val="737"/>
        </w:trPr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1A85E342" w14:textId="77777777" w:rsidR="00685138" w:rsidRPr="00D64A79" w:rsidRDefault="00685138" w:rsidP="00685138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  <w:bookmarkStart w:id="1" w:name="_Hlk94194129"/>
          </w:p>
        </w:tc>
        <w:tc>
          <w:tcPr>
            <w:tcW w:w="2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5C8ACB5D" w14:textId="4FFF7D48" w:rsidR="00685138" w:rsidRDefault="00685138" w:rsidP="0068513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01.01.202</w:t>
            </w:r>
            <w:r w:rsidR="006A1AEE"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b/>
                <w:lang w:eastAsia="en-US"/>
              </w:rPr>
              <w:t>.-31.12.202</w:t>
            </w:r>
            <w:r w:rsidR="006A1AEE"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2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559B8800" w14:textId="45053E47" w:rsidR="00685138" w:rsidRPr="00677A64" w:rsidRDefault="00685138" w:rsidP="0068513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01.01.202</w:t>
            </w:r>
            <w:r w:rsidR="006A1AEE"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b/>
                <w:lang w:eastAsia="en-US"/>
              </w:rPr>
              <w:t>.-31.12.202</w:t>
            </w:r>
            <w:r w:rsidR="006A1AEE"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9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ABD546C" w14:textId="77777777" w:rsidR="00685138" w:rsidRPr="00677A64" w:rsidRDefault="00685138" w:rsidP="0068513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77A64">
              <w:rPr>
                <w:rFonts w:eastAsiaTheme="minorHAnsi"/>
                <w:b/>
                <w:lang w:eastAsia="en-US"/>
              </w:rPr>
              <w:t>Indeks</w:t>
            </w:r>
          </w:p>
        </w:tc>
      </w:tr>
      <w:tr w:rsidR="006A1AEE" w:rsidRPr="00D64A79" w14:paraId="029A4C8D" w14:textId="77777777" w:rsidTr="00C26CC6">
        <w:tc>
          <w:tcPr>
            <w:tcW w:w="3313" w:type="dxa"/>
            <w:tcBorders>
              <w:top w:val="double" w:sz="4" w:space="0" w:color="auto"/>
              <w:left w:val="single" w:sz="12" w:space="0" w:color="auto"/>
            </w:tcBorders>
            <w:shd w:val="clear" w:color="auto" w:fill="F7CAAC" w:themeFill="accent2" w:themeFillTint="66"/>
          </w:tcPr>
          <w:p w14:paraId="64A88E91" w14:textId="05242BF2" w:rsidR="006A1AEE" w:rsidRPr="00F67829" w:rsidRDefault="006A1AEE" w:rsidP="006A1AE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6782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Rashodi poslovanja </w:t>
            </w:r>
          </w:p>
        </w:tc>
        <w:tc>
          <w:tcPr>
            <w:tcW w:w="2075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14:paraId="042C4CB0" w14:textId="5AB4F9DC" w:rsidR="006A1AEE" w:rsidRPr="00F67829" w:rsidRDefault="006A1AEE" w:rsidP="006A1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15.434.998,00</w:t>
            </w:r>
          </w:p>
        </w:tc>
        <w:tc>
          <w:tcPr>
            <w:tcW w:w="2075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14:paraId="048533BD" w14:textId="60D04AB7" w:rsidR="006A1AEE" w:rsidRPr="00F67829" w:rsidRDefault="006A1AEE" w:rsidP="006A1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36.380.479,84</w:t>
            </w:r>
          </w:p>
        </w:tc>
        <w:tc>
          <w:tcPr>
            <w:tcW w:w="951" w:type="dxa"/>
            <w:tcBorders>
              <w:top w:val="doub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51E9DD9" w14:textId="6E2FE7A4" w:rsidR="006A1AEE" w:rsidRPr="00F67829" w:rsidRDefault="006A1AEE" w:rsidP="006A1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235,7</w:t>
            </w:r>
          </w:p>
        </w:tc>
      </w:tr>
      <w:tr w:rsidR="006A1AEE" w:rsidRPr="00D64A79" w14:paraId="2B2E9F8B" w14:textId="77777777" w:rsidTr="00C26CC6">
        <w:tc>
          <w:tcPr>
            <w:tcW w:w="3313" w:type="dxa"/>
            <w:tcBorders>
              <w:top w:val="double" w:sz="4" w:space="0" w:color="auto"/>
              <w:left w:val="single" w:sz="12" w:space="0" w:color="auto"/>
            </w:tcBorders>
            <w:shd w:val="clear" w:color="auto" w:fill="F7CAAC" w:themeFill="accent2" w:themeFillTint="66"/>
          </w:tcPr>
          <w:p w14:paraId="747771F8" w14:textId="10EE2070" w:rsidR="006A1AEE" w:rsidRPr="00F67829" w:rsidRDefault="006A1AEE" w:rsidP="006A1AEE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Rashodi za zaposlene </w:t>
            </w:r>
          </w:p>
        </w:tc>
        <w:tc>
          <w:tcPr>
            <w:tcW w:w="2075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14:paraId="747A21E0" w14:textId="6BE243FC" w:rsidR="006A1AEE" w:rsidRPr="00F67829" w:rsidRDefault="006A1AEE" w:rsidP="006A1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4.049.067,00</w:t>
            </w:r>
          </w:p>
        </w:tc>
        <w:tc>
          <w:tcPr>
            <w:tcW w:w="2075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14:paraId="5D0A4F8F" w14:textId="28AF96F7" w:rsidR="006A1AEE" w:rsidRPr="00F67829" w:rsidRDefault="006A1AEE" w:rsidP="006A1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4.219.751,14</w:t>
            </w:r>
          </w:p>
        </w:tc>
        <w:tc>
          <w:tcPr>
            <w:tcW w:w="951" w:type="dxa"/>
            <w:tcBorders>
              <w:top w:val="doub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F9B12D6" w14:textId="594188D0" w:rsidR="006A1AEE" w:rsidRPr="00F67829" w:rsidRDefault="006A1AEE" w:rsidP="006A1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104,2</w:t>
            </w:r>
          </w:p>
        </w:tc>
      </w:tr>
      <w:tr w:rsidR="006A1AEE" w:rsidRPr="00D64A79" w14:paraId="1C516EED" w14:textId="77777777" w:rsidTr="00C26CC6">
        <w:tc>
          <w:tcPr>
            <w:tcW w:w="3313" w:type="dxa"/>
            <w:tcBorders>
              <w:left w:val="single" w:sz="12" w:space="0" w:color="auto"/>
            </w:tcBorders>
          </w:tcPr>
          <w:p w14:paraId="36AB5E74" w14:textId="1A5F1AAB" w:rsidR="006A1AEE" w:rsidRPr="00F67829" w:rsidRDefault="006A1AEE" w:rsidP="006A1AEE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 xml:space="preserve">Plaće (bruto)  </w:t>
            </w:r>
          </w:p>
        </w:tc>
        <w:tc>
          <w:tcPr>
            <w:tcW w:w="2075" w:type="dxa"/>
          </w:tcPr>
          <w:p w14:paraId="1F705123" w14:textId="62571D4C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3.354.035,00</w:t>
            </w:r>
          </w:p>
        </w:tc>
        <w:tc>
          <w:tcPr>
            <w:tcW w:w="2075" w:type="dxa"/>
          </w:tcPr>
          <w:p w14:paraId="04F6CAF4" w14:textId="57904CF6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3.479.415,46</w:t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14:paraId="0AD4AF30" w14:textId="6BE44272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</w:tr>
      <w:tr w:rsidR="006A1AEE" w:rsidRPr="00D64A79" w14:paraId="375A1BC4" w14:textId="77777777" w:rsidTr="00C26CC6">
        <w:tc>
          <w:tcPr>
            <w:tcW w:w="3313" w:type="dxa"/>
            <w:tcBorders>
              <w:left w:val="single" w:sz="12" w:space="0" w:color="auto"/>
              <w:bottom w:val="single" w:sz="12" w:space="0" w:color="auto"/>
            </w:tcBorders>
          </w:tcPr>
          <w:p w14:paraId="0FE7D2B9" w14:textId="4BB08B79" w:rsidR="006A1AEE" w:rsidRPr="006A1AEE" w:rsidRDefault="006A1AEE" w:rsidP="006A1A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 xml:space="preserve">Ostali rashodi za zaposlene </w:t>
            </w:r>
          </w:p>
        </w:tc>
        <w:tc>
          <w:tcPr>
            <w:tcW w:w="2075" w:type="dxa"/>
            <w:tcBorders>
              <w:bottom w:val="single" w:sz="12" w:space="0" w:color="auto"/>
            </w:tcBorders>
          </w:tcPr>
          <w:p w14:paraId="25D7BD16" w14:textId="430BC51A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163.592,00</w:t>
            </w:r>
          </w:p>
        </w:tc>
        <w:tc>
          <w:tcPr>
            <w:tcW w:w="2075" w:type="dxa"/>
            <w:tcBorders>
              <w:bottom w:val="single" w:sz="12" w:space="0" w:color="auto"/>
            </w:tcBorders>
          </w:tcPr>
          <w:p w14:paraId="4CF44654" w14:textId="3F5A04DD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189.408,93</w:t>
            </w:r>
          </w:p>
        </w:tc>
        <w:tc>
          <w:tcPr>
            <w:tcW w:w="951" w:type="dxa"/>
            <w:tcBorders>
              <w:bottom w:val="single" w:sz="12" w:space="0" w:color="auto"/>
              <w:right w:val="single" w:sz="12" w:space="0" w:color="auto"/>
            </w:tcBorders>
          </w:tcPr>
          <w:p w14:paraId="523ADDC1" w14:textId="43BD5069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</w:t>
            </w:r>
          </w:p>
        </w:tc>
      </w:tr>
      <w:tr w:rsidR="006A1AEE" w:rsidRPr="00D64A79" w14:paraId="38DDADE6" w14:textId="77777777" w:rsidTr="00C26CC6">
        <w:tc>
          <w:tcPr>
            <w:tcW w:w="3313" w:type="dxa"/>
            <w:tcBorders>
              <w:top w:val="single" w:sz="12" w:space="0" w:color="auto"/>
              <w:left w:val="single" w:sz="12" w:space="0" w:color="auto"/>
            </w:tcBorders>
          </w:tcPr>
          <w:p w14:paraId="16E80233" w14:textId="09052213" w:rsidR="006A1AEE" w:rsidRPr="00F67829" w:rsidRDefault="006A1AEE" w:rsidP="006A1AEE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 xml:space="preserve">Doprinosi na plaće </w:t>
            </w:r>
          </w:p>
        </w:tc>
        <w:tc>
          <w:tcPr>
            <w:tcW w:w="2075" w:type="dxa"/>
            <w:tcBorders>
              <w:top w:val="single" w:sz="12" w:space="0" w:color="auto"/>
            </w:tcBorders>
          </w:tcPr>
          <w:p w14:paraId="50E2A7B0" w14:textId="35953DC7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531.440,00</w:t>
            </w:r>
          </w:p>
        </w:tc>
        <w:tc>
          <w:tcPr>
            <w:tcW w:w="2075" w:type="dxa"/>
            <w:tcBorders>
              <w:top w:val="single" w:sz="12" w:space="0" w:color="auto"/>
            </w:tcBorders>
          </w:tcPr>
          <w:p w14:paraId="3DB3B90A" w14:textId="5ED38DE7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550.926,75</w:t>
            </w:r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</w:tcPr>
          <w:p w14:paraId="32CE8C00" w14:textId="13FF7AB9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</w:tr>
      <w:tr w:rsidR="006A1AEE" w:rsidRPr="00D64A79" w14:paraId="3353E9DF" w14:textId="77777777" w:rsidTr="00C26CC6">
        <w:tc>
          <w:tcPr>
            <w:tcW w:w="3313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60693545" w14:textId="73998114" w:rsidR="006A1AEE" w:rsidRPr="006A1AEE" w:rsidRDefault="006A1AEE" w:rsidP="006A1AE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6782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Materijalni rashodi </w:t>
            </w:r>
          </w:p>
        </w:tc>
        <w:tc>
          <w:tcPr>
            <w:tcW w:w="2075" w:type="dxa"/>
            <w:shd w:val="clear" w:color="auto" w:fill="F7CAAC" w:themeFill="accent2" w:themeFillTint="66"/>
          </w:tcPr>
          <w:p w14:paraId="39742B3C" w14:textId="396FD223" w:rsidR="006A1AEE" w:rsidRPr="00F67829" w:rsidRDefault="006A1AEE" w:rsidP="006A1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11.124.770,00</w:t>
            </w:r>
          </w:p>
        </w:tc>
        <w:tc>
          <w:tcPr>
            <w:tcW w:w="2075" w:type="dxa"/>
            <w:shd w:val="clear" w:color="auto" w:fill="F7CAAC" w:themeFill="accent2" w:themeFillTint="66"/>
          </w:tcPr>
          <w:p w14:paraId="5146171C" w14:textId="32E5D8AE" w:rsidR="006A1AEE" w:rsidRPr="00F67829" w:rsidRDefault="006A1AEE" w:rsidP="006A1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32.121.707,53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14:paraId="08F17CF8" w14:textId="7DD1BFDA" w:rsidR="006A1AEE" w:rsidRPr="00F67829" w:rsidRDefault="006A1AEE" w:rsidP="006A1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288,7</w:t>
            </w:r>
          </w:p>
        </w:tc>
      </w:tr>
      <w:tr w:rsidR="006A1AEE" w:rsidRPr="00D64A79" w14:paraId="766774CB" w14:textId="77777777" w:rsidTr="00C26CC6">
        <w:tc>
          <w:tcPr>
            <w:tcW w:w="3313" w:type="dxa"/>
            <w:tcBorders>
              <w:left w:val="single" w:sz="12" w:space="0" w:color="auto"/>
            </w:tcBorders>
          </w:tcPr>
          <w:p w14:paraId="353FD732" w14:textId="26C256F6" w:rsidR="006A1AEE" w:rsidRPr="00F67829" w:rsidRDefault="006A1AEE" w:rsidP="006A1AEE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 xml:space="preserve">Naknade troškova zaposlenima </w:t>
            </w:r>
          </w:p>
        </w:tc>
        <w:tc>
          <w:tcPr>
            <w:tcW w:w="2075" w:type="dxa"/>
          </w:tcPr>
          <w:p w14:paraId="24EA7D47" w14:textId="11DD5033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203.894,00</w:t>
            </w:r>
          </w:p>
        </w:tc>
        <w:tc>
          <w:tcPr>
            <w:tcW w:w="2075" w:type="dxa"/>
          </w:tcPr>
          <w:p w14:paraId="4DD21C43" w14:textId="2BE233FB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269.657,99</w:t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14:paraId="10931A5F" w14:textId="6DB3BCEA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132,3</w:t>
            </w:r>
          </w:p>
        </w:tc>
      </w:tr>
      <w:tr w:rsidR="006A1AEE" w:rsidRPr="00D64A79" w14:paraId="2BD3CBD7" w14:textId="77777777" w:rsidTr="00C26CC6">
        <w:tc>
          <w:tcPr>
            <w:tcW w:w="3313" w:type="dxa"/>
            <w:tcBorders>
              <w:left w:val="single" w:sz="12" w:space="0" w:color="auto"/>
            </w:tcBorders>
          </w:tcPr>
          <w:p w14:paraId="79F8781E" w14:textId="6B6B1193" w:rsidR="006A1AEE" w:rsidRPr="00F67829" w:rsidRDefault="006A1AEE" w:rsidP="006A1AEE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Rashodi za materijal i energiju</w:t>
            </w:r>
          </w:p>
        </w:tc>
        <w:tc>
          <w:tcPr>
            <w:tcW w:w="2075" w:type="dxa"/>
          </w:tcPr>
          <w:p w14:paraId="48A9F42D" w14:textId="725A72F1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473.062,00</w:t>
            </w:r>
          </w:p>
        </w:tc>
        <w:tc>
          <w:tcPr>
            <w:tcW w:w="2075" w:type="dxa"/>
          </w:tcPr>
          <w:p w14:paraId="461C5062" w14:textId="18AD2CD8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1.093.942,56</w:t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14:paraId="47448CA1" w14:textId="6070966F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231,2</w:t>
            </w:r>
          </w:p>
        </w:tc>
      </w:tr>
      <w:tr w:rsidR="006A1AEE" w:rsidRPr="00D64A79" w14:paraId="5950E3C2" w14:textId="77777777" w:rsidTr="00C26CC6">
        <w:trPr>
          <w:trHeight w:val="295"/>
        </w:trPr>
        <w:tc>
          <w:tcPr>
            <w:tcW w:w="3313" w:type="dxa"/>
            <w:tcBorders>
              <w:left w:val="single" w:sz="12" w:space="0" w:color="auto"/>
              <w:bottom w:val="single" w:sz="4" w:space="0" w:color="auto"/>
            </w:tcBorders>
          </w:tcPr>
          <w:p w14:paraId="773FB84A" w14:textId="3AFDD60F" w:rsidR="006A1AEE" w:rsidRPr="00F67829" w:rsidRDefault="006A1AEE" w:rsidP="006A1AEE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 xml:space="preserve">Rashodi za usluge 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6BCFB52F" w14:textId="12F86D28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10.215.790,00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7A422EED" w14:textId="3BD747CF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30.562.268,21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12" w:space="0" w:color="auto"/>
            </w:tcBorders>
          </w:tcPr>
          <w:p w14:paraId="580F2D7C" w14:textId="680C8BD2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299,2</w:t>
            </w:r>
          </w:p>
        </w:tc>
      </w:tr>
      <w:tr w:rsidR="006A1AEE" w:rsidRPr="00D64A79" w14:paraId="16E9F61A" w14:textId="77777777" w:rsidTr="00C26CC6">
        <w:tc>
          <w:tcPr>
            <w:tcW w:w="3313" w:type="dxa"/>
            <w:tcBorders>
              <w:top w:val="single" w:sz="12" w:space="0" w:color="auto"/>
              <w:left w:val="single" w:sz="12" w:space="0" w:color="auto"/>
            </w:tcBorders>
          </w:tcPr>
          <w:p w14:paraId="1E3536E0" w14:textId="423833E6" w:rsidR="006A1AEE" w:rsidRPr="00F67829" w:rsidRDefault="006A1AEE" w:rsidP="006A1AEE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 xml:space="preserve">Ostali nespomenuti rashodi poslovanja </w:t>
            </w:r>
          </w:p>
        </w:tc>
        <w:tc>
          <w:tcPr>
            <w:tcW w:w="2075" w:type="dxa"/>
            <w:tcBorders>
              <w:top w:val="single" w:sz="12" w:space="0" w:color="auto"/>
            </w:tcBorders>
          </w:tcPr>
          <w:p w14:paraId="778278C4" w14:textId="598AC939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232.024,00</w:t>
            </w:r>
          </w:p>
        </w:tc>
        <w:tc>
          <w:tcPr>
            <w:tcW w:w="2075" w:type="dxa"/>
            <w:tcBorders>
              <w:top w:val="single" w:sz="12" w:space="0" w:color="auto"/>
            </w:tcBorders>
          </w:tcPr>
          <w:p w14:paraId="2468EEFB" w14:textId="6A81266A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195.838,77</w:t>
            </w:r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</w:tcPr>
          <w:p w14:paraId="68A4D771" w14:textId="623B1D46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</w:tr>
      <w:tr w:rsidR="006A1AEE" w:rsidRPr="00D64A79" w14:paraId="5948E159" w14:textId="77777777" w:rsidTr="00C26CC6">
        <w:tc>
          <w:tcPr>
            <w:tcW w:w="3313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2892F413" w14:textId="097593BD" w:rsidR="006A1AEE" w:rsidRPr="00F67829" w:rsidRDefault="006A1AEE" w:rsidP="006A1AEE">
            <w:pPr>
              <w:rPr>
                <w:b/>
                <w:sz w:val="22"/>
                <w:szCs w:val="22"/>
              </w:rPr>
            </w:pPr>
            <w:r w:rsidRPr="00F6782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Financijski rashodi </w:t>
            </w:r>
          </w:p>
        </w:tc>
        <w:tc>
          <w:tcPr>
            <w:tcW w:w="2075" w:type="dxa"/>
            <w:shd w:val="clear" w:color="auto" w:fill="F7CAAC" w:themeFill="accent2" w:themeFillTint="66"/>
          </w:tcPr>
          <w:p w14:paraId="7535906B" w14:textId="3C567263" w:rsidR="006A1AEE" w:rsidRPr="00F67829" w:rsidRDefault="006A1AEE" w:rsidP="006A1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261.161,00</w:t>
            </w:r>
          </w:p>
        </w:tc>
        <w:tc>
          <w:tcPr>
            <w:tcW w:w="2075" w:type="dxa"/>
            <w:shd w:val="clear" w:color="auto" w:fill="F7CAAC" w:themeFill="accent2" w:themeFillTint="66"/>
          </w:tcPr>
          <w:p w14:paraId="2924F054" w14:textId="33196549" w:rsidR="006A1AEE" w:rsidRPr="00F67829" w:rsidRDefault="006A1AEE" w:rsidP="006A1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39.021,17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14:paraId="09248682" w14:textId="17C18C79" w:rsidR="006A1AEE" w:rsidRPr="00F67829" w:rsidRDefault="006A1AEE" w:rsidP="006A1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14,9</w:t>
            </w:r>
          </w:p>
        </w:tc>
      </w:tr>
      <w:tr w:rsidR="006A1AEE" w:rsidRPr="00D64A79" w14:paraId="7FCD5F65" w14:textId="77777777" w:rsidTr="00876617"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545F6D" w14:textId="78588D83" w:rsidR="006A1AEE" w:rsidRPr="00F67829" w:rsidRDefault="006A1AEE" w:rsidP="006A1A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 xml:space="preserve">Ostali financijski rashodi 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12" w:space="0" w:color="auto"/>
            </w:tcBorders>
          </w:tcPr>
          <w:p w14:paraId="4710970F" w14:textId="5B6F2245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261.161,00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12" w:space="0" w:color="auto"/>
            </w:tcBorders>
          </w:tcPr>
          <w:p w14:paraId="41111287" w14:textId="541D86FC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39.021,17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0ABD8" w14:textId="1E576C34" w:rsidR="006A1AEE" w:rsidRPr="00F67829" w:rsidRDefault="006A1AEE" w:rsidP="006A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bookmarkEnd w:id="1"/>
    </w:tbl>
    <w:p w14:paraId="04D1B568" w14:textId="77777777" w:rsidR="003212E1" w:rsidRDefault="003212E1" w:rsidP="003212E1"/>
    <w:p w14:paraId="3DA66588" w14:textId="77777777" w:rsidR="00C61173" w:rsidRDefault="00C61173" w:rsidP="003212E1">
      <w:pPr>
        <w:pStyle w:val="Odlomakpopisa"/>
        <w:rPr>
          <w:b/>
          <w:sz w:val="28"/>
          <w:szCs w:val="28"/>
        </w:rPr>
      </w:pPr>
    </w:p>
    <w:p w14:paraId="7FB3C378" w14:textId="77777777" w:rsidR="00C61173" w:rsidRDefault="00C61173" w:rsidP="003212E1">
      <w:pPr>
        <w:pStyle w:val="Odlomakpopisa"/>
        <w:rPr>
          <w:b/>
          <w:sz w:val="28"/>
          <w:szCs w:val="28"/>
        </w:rPr>
      </w:pPr>
    </w:p>
    <w:p w14:paraId="07312934" w14:textId="77777777" w:rsidR="00C61173" w:rsidRDefault="00C61173" w:rsidP="003212E1">
      <w:pPr>
        <w:pStyle w:val="Odlomakpopisa"/>
        <w:rPr>
          <w:b/>
          <w:sz w:val="28"/>
          <w:szCs w:val="28"/>
        </w:rPr>
      </w:pPr>
    </w:p>
    <w:p w14:paraId="05DC6AC7" w14:textId="77777777" w:rsidR="00C61173" w:rsidRDefault="00C61173" w:rsidP="003212E1">
      <w:pPr>
        <w:pStyle w:val="Odlomakpopisa"/>
        <w:rPr>
          <w:b/>
          <w:sz w:val="28"/>
          <w:szCs w:val="28"/>
        </w:rPr>
      </w:pPr>
    </w:p>
    <w:p w14:paraId="7C29193D" w14:textId="62B95AD3" w:rsidR="003212E1" w:rsidRPr="00BA0B0D" w:rsidRDefault="003212E1" w:rsidP="003212E1">
      <w:pPr>
        <w:pStyle w:val="Odlomakpopisa"/>
        <w:rPr>
          <w:b/>
          <w:sz w:val="28"/>
          <w:szCs w:val="28"/>
        </w:rPr>
      </w:pPr>
      <w:r w:rsidRPr="00C73815">
        <w:rPr>
          <w:b/>
          <w:sz w:val="28"/>
          <w:szCs w:val="28"/>
        </w:rPr>
        <w:lastRenderedPageBreak/>
        <w:t xml:space="preserve">RASHODI ZA NABAVU NEFINANCIJSKE IMOVINE- </w:t>
      </w:r>
      <w:r w:rsidR="003F6440">
        <w:rPr>
          <w:b/>
          <w:sz w:val="28"/>
          <w:szCs w:val="28"/>
        </w:rPr>
        <w:t>169.011,12</w:t>
      </w:r>
      <w:r w:rsidRPr="00BA0B0D">
        <w:rPr>
          <w:b/>
          <w:sz w:val="28"/>
          <w:szCs w:val="28"/>
        </w:rPr>
        <w:t xml:space="preserve"> kn</w:t>
      </w:r>
    </w:p>
    <w:p w14:paraId="4FBA3DC8" w14:textId="77777777" w:rsidR="003212E1" w:rsidRPr="00BA0B0D" w:rsidRDefault="003212E1" w:rsidP="003212E1"/>
    <w:p w14:paraId="36E10EFA" w14:textId="77777777" w:rsidR="003212E1" w:rsidRPr="00E106F0" w:rsidRDefault="003212E1" w:rsidP="003212E1">
      <w:pPr>
        <w:rPr>
          <w:color w:val="FF0000"/>
        </w:rPr>
      </w:pPr>
    </w:p>
    <w:p w14:paraId="7A6099D9" w14:textId="2E47B5EF" w:rsidR="00E63C6C" w:rsidRDefault="001E48B6" w:rsidP="00E63C6C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dan 31.12.202</w:t>
      </w:r>
      <w:r w:rsidR="003F6440">
        <w:rPr>
          <w:rFonts w:eastAsiaTheme="minorHAnsi"/>
          <w:lang w:eastAsia="en-US"/>
        </w:rPr>
        <w:t>2</w:t>
      </w:r>
      <w:r w:rsidR="003212E1" w:rsidRPr="009D63CA">
        <w:rPr>
          <w:rFonts w:eastAsiaTheme="minorHAnsi"/>
          <w:lang w:eastAsia="en-US"/>
        </w:rPr>
        <w:t xml:space="preserve">. </w:t>
      </w:r>
      <w:r w:rsidR="003212E1">
        <w:rPr>
          <w:rFonts w:eastAsiaTheme="minorHAnsi"/>
          <w:lang w:eastAsia="en-US"/>
        </w:rPr>
        <w:t xml:space="preserve">godine </w:t>
      </w:r>
      <w:r w:rsidR="003212E1" w:rsidRPr="004A5E6E">
        <w:rPr>
          <w:rFonts w:eastAsiaTheme="minorHAnsi"/>
          <w:lang w:eastAsia="en-US"/>
        </w:rPr>
        <w:t xml:space="preserve">utrošeno </w:t>
      </w:r>
      <w:r w:rsidR="003212E1" w:rsidRPr="00FA204D">
        <w:rPr>
          <w:rFonts w:eastAsiaTheme="minorHAnsi"/>
          <w:lang w:eastAsia="en-US"/>
        </w:rPr>
        <w:t>je</w:t>
      </w:r>
      <w:r w:rsidR="00CC5DC6">
        <w:rPr>
          <w:rFonts w:eastAsiaTheme="minorHAnsi"/>
          <w:lang w:eastAsia="en-US"/>
        </w:rPr>
        <w:t xml:space="preserve"> </w:t>
      </w:r>
      <w:r w:rsidR="00E63C6C">
        <w:rPr>
          <w:rFonts w:eastAsiaTheme="minorHAnsi"/>
          <w:lang w:eastAsia="en-US"/>
        </w:rPr>
        <w:t xml:space="preserve">169.011,12 </w:t>
      </w:r>
      <w:r w:rsidR="003212E1" w:rsidRPr="002A072D">
        <w:rPr>
          <w:rFonts w:eastAsiaTheme="minorHAnsi"/>
          <w:lang w:eastAsia="en-US"/>
        </w:rPr>
        <w:t xml:space="preserve">kn </w:t>
      </w:r>
      <w:r w:rsidR="007C677F">
        <w:rPr>
          <w:rFonts w:eastAsiaTheme="minorHAnsi"/>
          <w:lang w:eastAsia="en-US"/>
        </w:rPr>
        <w:t>za</w:t>
      </w:r>
      <w:r w:rsidR="003212E1" w:rsidRPr="009D63CA">
        <w:rPr>
          <w:rFonts w:eastAsiaTheme="minorHAnsi"/>
          <w:lang w:eastAsia="en-US"/>
        </w:rPr>
        <w:t xml:space="preserve"> nabavu nefinancijske imovine dok su isti </w:t>
      </w:r>
      <w:r w:rsidR="003212E1">
        <w:rPr>
          <w:rFonts w:eastAsiaTheme="minorHAnsi"/>
          <w:lang w:eastAsia="en-US"/>
        </w:rPr>
        <w:t>na dan 31.12.20</w:t>
      </w:r>
      <w:r w:rsidR="00CC5DC6">
        <w:rPr>
          <w:rFonts w:eastAsiaTheme="minorHAnsi"/>
          <w:lang w:eastAsia="en-US"/>
        </w:rPr>
        <w:t>2</w:t>
      </w:r>
      <w:r w:rsidR="00E63C6C">
        <w:rPr>
          <w:rFonts w:eastAsiaTheme="minorHAnsi"/>
          <w:lang w:eastAsia="en-US"/>
        </w:rPr>
        <w:t>1</w:t>
      </w:r>
      <w:r w:rsidR="003212E1" w:rsidRPr="00D05933">
        <w:rPr>
          <w:rFonts w:eastAsiaTheme="minorHAnsi"/>
          <w:lang w:eastAsia="en-US"/>
        </w:rPr>
        <w:t xml:space="preserve">. godine iznosili </w:t>
      </w:r>
      <w:r w:rsidR="00E63C6C" w:rsidRPr="00E63C6C">
        <w:rPr>
          <w:rFonts w:eastAsiaTheme="minorHAnsi"/>
          <w:lang w:eastAsia="en-US"/>
        </w:rPr>
        <w:t>931.634,00</w:t>
      </w:r>
      <w:r w:rsidR="00E63C6C">
        <w:rPr>
          <w:rFonts w:eastAsiaTheme="minorHAnsi"/>
          <w:lang w:eastAsia="en-US"/>
        </w:rPr>
        <w:t xml:space="preserve"> </w:t>
      </w:r>
      <w:r w:rsidR="003212E1" w:rsidRPr="004A5E6E">
        <w:rPr>
          <w:rFonts w:eastAsiaTheme="minorHAnsi"/>
          <w:lang w:eastAsia="en-US"/>
        </w:rPr>
        <w:t>kn</w:t>
      </w:r>
      <w:r w:rsidR="00764D5E">
        <w:rPr>
          <w:rFonts w:eastAsiaTheme="minorHAnsi"/>
          <w:lang w:eastAsia="en-US"/>
        </w:rPr>
        <w:t xml:space="preserve">. </w:t>
      </w:r>
      <w:r w:rsidR="00E63C6C">
        <w:rPr>
          <w:rFonts w:eastAsiaTheme="minorHAnsi"/>
          <w:lang w:eastAsia="en-US"/>
        </w:rPr>
        <w:t>Navedeni rashodi</w:t>
      </w:r>
      <w:r w:rsidR="007C677F">
        <w:rPr>
          <w:rFonts w:eastAsiaTheme="minorHAnsi"/>
          <w:lang w:eastAsia="en-US"/>
        </w:rPr>
        <w:t xml:space="preserve"> </w:t>
      </w:r>
      <w:r w:rsidR="00E63C6C">
        <w:rPr>
          <w:rFonts w:eastAsiaTheme="minorHAnsi"/>
          <w:lang w:eastAsia="en-US"/>
        </w:rPr>
        <w:t>odnose se na</w:t>
      </w:r>
      <w:r w:rsidR="00E63C6C" w:rsidRPr="001B2991">
        <w:rPr>
          <w:rFonts w:eastAsiaTheme="minorHAnsi"/>
          <w:lang w:eastAsia="en-US"/>
        </w:rPr>
        <w:t xml:space="preserve"> nabavu proizvedene dugotrajne imovine</w:t>
      </w:r>
      <w:r w:rsidR="00E63C6C">
        <w:rPr>
          <w:rFonts w:eastAsiaTheme="minorHAnsi"/>
          <w:lang w:eastAsia="en-US"/>
        </w:rPr>
        <w:t>, računala i računalne opreme</w:t>
      </w:r>
      <w:r w:rsidR="007C677F">
        <w:rPr>
          <w:rFonts w:eastAsiaTheme="minorHAnsi"/>
          <w:lang w:eastAsia="en-US"/>
        </w:rPr>
        <w:t xml:space="preserve"> te na dodatna ulaganja na građevinskim objektima, odnosno izradu projekta izgradnje nadstrešnice aviona i dobavu i ugradnju jarbola. </w:t>
      </w:r>
    </w:p>
    <w:p w14:paraId="443BD1E0" w14:textId="5E7CF219" w:rsidR="003212E1" w:rsidRPr="00E63C6C" w:rsidRDefault="003212E1" w:rsidP="00E63C6C">
      <w:pPr>
        <w:pStyle w:val="Odlomakpopisa"/>
        <w:numPr>
          <w:ilvl w:val="0"/>
          <w:numId w:val="13"/>
        </w:numPr>
        <w:spacing w:after="160" w:line="259" w:lineRule="auto"/>
        <w:jc w:val="both"/>
        <w:rPr>
          <w:i/>
        </w:rPr>
      </w:pPr>
      <w:r w:rsidRPr="00E63C6C">
        <w:rPr>
          <w:rFonts w:eastAsiaTheme="minorHAnsi"/>
          <w:i/>
          <w:lang w:eastAsia="en-US"/>
        </w:rPr>
        <w:t>Struktura</w:t>
      </w:r>
    </w:p>
    <w:p w14:paraId="45EF5631" w14:textId="77777777" w:rsidR="003212E1" w:rsidRPr="00873FF4" w:rsidRDefault="003212E1" w:rsidP="003212E1">
      <w:pPr>
        <w:rPr>
          <w:color w:val="FF0000"/>
        </w:rPr>
      </w:pPr>
    </w:p>
    <w:tbl>
      <w:tblPr>
        <w:tblStyle w:val="Reetkatablice"/>
        <w:tblW w:w="8514" w:type="dxa"/>
        <w:tblLook w:val="04A0" w:firstRow="1" w:lastRow="0" w:firstColumn="1" w:lastColumn="0" w:noHBand="0" w:noVBand="1"/>
      </w:tblPr>
      <w:tblGrid>
        <w:gridCol w:w="3468"/>
        <w:gridCol w:w="2047"/>
        <w:gridCol w:w="2047"/>
        <w:gridCol w:w="952"/>
      </w:tblGrid>
      <w:tr w:rsidR="00E63C6C" w:rsidRPr="00873FF4" w14:paraId="2A51F573" w14:textId="77777777" w:rsidTr="00E63C6C"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09CA6B26" w14:textId="77777777" w:rsidR="00E63C6C" w:rsidRPr="00873FF4" w:rsidRDefault="00E63C6C" w:rsidP="00E63C6C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047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022B9E76" w14:textId="202801B3" w:rsidR="00E63C6C" w:rsidRDefault="00E63C6C" w:rsidP="00E63C6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01.01.2021.-31.12.2021.</w:t>
            </w:r>
          </w:p>
        </w:tc>
        <w:tc>
          <w:tcPr>
            <w:tcW w:w="2047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210D7734" w14:textId="08D6E8AE" w:rsidR="00E63C6C" w:rsidRPr="00873FF4" w:rsidRDefault="00E63C6C" w:rsidP="00E63C6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01.01.2022.-31.12.2022.</w:t>
            </w:r>
          </w:p>
        </w:tc>
        <w:tc>
          <w:tcPr>
            <w:tcW w:w="9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CA2BDA4" w14:textId="77777777" w:rsidR="00E63C6C" w:rsidRPr="00873FF4" w:rsidRDefault="00E63C6C" w:rsidP="00E63C6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873FF4">
              <w:rPr>
                <w:rFonts w:eastAsiaTheme="minorHAnsi"/>
                <w:b/>
                <w:lang w:eastAsia="en-US"/>
              </w:rPr>
              <w:t>Indeks</w:t>
            </w:r>
          </w:p>
        </w:tc>
      </w:tr>
      <w:tr w:rsidR="00E63C6C" w:rsidRPr="00873FF4" w14:paraId="4BC84B3B" w14:textId="77777777" w:rsidTr="00E63C6C">
        <w:tc>
          <w:tcPr>
            <w:tcW w:w="3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14:paraId="25421173" w14:textId="2AF834CD" w:rsidR="00E63C6C" w:rsidRDefault="00E63C6C" w:rsidP="00E63C6C">
            <w:pPr>
              <w:rPr>
                <w:b/>
              </w:rPr>
            </w:pPr>
            <w:r>
              <w:rPr>
                <w:b/>
              </w:rPr>
              <w:t xml:space="preserve">Rashodi za nabavu nefinancijske imovine 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3F0B06DF" w14:textId="39D5E3A7" w:rsidR="00E63C6C" w:rsidRDefault="00E63C6C" w:rsidP="00E63C6C">
            <w:pPr>
              <w:jc w:val="center"/>
              <w:rPr>
                <w:b/>
              </w:rPr>
            </w:pPr>
            <w:r>
              <w:rPr>
                <w:b/>
              </w:rPr>
              <w:t>931.634,00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1E526A7A" w14:textId="659CD092" w:rsidR="00E63C6C" w:rsidRDefault="00E63C6C" w:rsidP="00E63C6C">
            <w:pPr>
              <w:jc w:val="center"/>
              <w:rPr>
                <w:b/>
              </w:rPr>
            </w:pPr>
            <w:r>
              <w:rPr>
                <w:b/>
              </w:rPr>
              <w:t>169.011,12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5ACB7EB2" w14:textId="3DFC1267" w:rsidR="00E63C6C" w:rsidRDefault="00E63C6C" w:rsidP="00E63C6C">
            <w:pPr>
              <w:jc w:val="center"/>
              <w:rPr>
                <w:b/>
              </w:rPr>
            </w:pPr>
            <w:r>
              <w:rPr>
                <w:b/>
              </w:rPr>
              <w:t>18,1</w:t>
            </w:r>
          </w:p>
        </w:tc>
      </w:tr>
      <w:tr w:rsidR="00E63C6C" w:rsidRPr="00873FF4" w14:paraId="0FDFF2E5" w14:textId="77777777" w:rsidTr="00E63C6C">
        <w:tc>
          <w:tcPr>
            <w:tcW w:w="3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14:paraId="5DFAE4BB" w14:textId="38791143" w:rsidR="00E63C6C" w:rsidRPr="00474AC7" w:rsidRDefault="00E63C6C" w:rsidP="00E63C6C">
            <w:pPr>
              <w:rPr>
                <w:b/>
              </w:rPr>
            </w:pPr>
            <w:r>
              <w:rPr>
                <w:b/>
              </w:rPr>
              <w:t xml:space="preserve">Rashodi za nabavu </w:t>
            </w:r>
            <w:proofErr w:type="spellStart"/>
            <w:r>
              <w:rPr>
                <w:b/>
              </w:rPr>
              <w:t>neproizvedene</w:t>
            </w:r>
            <w:proofErr w:type="spellEnd"/>
            <w:r>
              <w:rPr>
                <w:b/>
              </w:rPr>
              <w:t xml:space="preserve"> dugotrajne imovine 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75638FCA" w14:textId="5D8B5D46" w:rsidR="00E63C6C" w:rsidRDefault="00E63C6C" w:rsidP="00E63C6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F1D2EAD" w14:textId="0A5AC446" w:rsidR="00E63C6C" w:rsidRDefault="00E63C6C" w:rsidP="00E63C6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D945DD2" w14:textId="57287683" w:rsidR="00E63C6C" w:rsidRPr="00474AC7" w:rsidRDefault="00E63C6C" w:rsidP="00E63C6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3C6C" w:rsidRPr="00873FF4" w14:paraId="16ACF5CD" w14:textId="77777777" w:rsidTr="00E63C6C">
        <w:tc>
          <w:tcPr>
            <w:tcW w:w="3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D75F81C" w14:textId="3E651411" w:rsidR="00E63C6C" w:rsidRPr="00456689" w:rsidRDefault="00E63C6C" w:rsidP="00E63C6C">
            <w:r w:rsidRPr="00456689">
              <w:t xml:space="preserve">Nematerijalna imovina </w:t>
            </w:r>
          </w:p>
        </w:tc>
        <w:tc>
          <w:tcPr>
            <w:tcW w:w="2047" w:type="dxa"/>
            <w:tcBorders>
              <w:top w:val="single" w:sz="12" w:space="0" w:color="auto"/>
            </w:tcBorders>
          </w:tcPr>
          <w:p w14:paraId="3F652BDE" w14:textId="46863DF1" w:rsidR="00E63C6C" w:rsidRDefault="00E63C6C" w:rsidP="00E63C6C">
            <w:pPr>
              <w:jc w:val="center"/>
            </w:pPr>
            <w:r>
              <w:t>-</w:t>
            </w:r>
          </w:p>
        </w:tc>
        <w:tc>
          <w:tcPr>
            <w:tcW w:w="2047" w:type="dxa"/>
            <w:tcBorders>
              <w:top w:val="single" w:sz="12" w:space="0" w:color="auto"/>
            </w:tcBorders>
          </w:tcPr>
          <w:p w14:paraId="37DE4E5C" w14:textId="46576B90" w:rsidR="00E63C6C" w:rsidRDefault="00E63C6C" w:rsidP="00E63C6C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70F67D" w14:textId="22C64357" w:rsidR="00E63C6C" w:rsidRPr="00456689" w:rsidRDefault="00E63C6C" w:rsidP="00E63C6C">
            <w:pPr>
              <w:jc w:val="center"/>
            </w:pPr>
            <w:r>
              <w:t>-</w:t>
            </w:r>
          </w:p>
        </w:tc>
      </w:tr>
      <w:tr w:rsidR="00E63C6C" w:rsidRPr="00873FF4" w14:paraId="11310A14" w14:textId="77777777" w:rsidTr="00E63C6C">
        <w:tc>
          <w:tcPr>
            <w:tcW w:w="3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14:paraId="045E6B87" w14:textId="46BFA418" w:rsidR="00E63C6C" w:rsidRPr="00474AC7" w:rsidRDefault="00E63C6C" w:rsidP="00E63C6C">
            <w:pPr>
              <w:rPr>
                <w:b/>
              </w:rPr>
            </w:pPr>
            <w:r w:rsidRPr="00474AC7">
              <w:rPr>
                <w:b/>
              </w:rPr>
              <w:t xml:space="preserve">Rashodi za nabavu proizvedene dugotrajne imovine 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5F515847" w14:textId="27031587" w:rsidR="00E63C6C" w:rsidRDefault="00E63C6C" w:rsidP="00E63C6C">
            <w:pPr>
              <w:jc w:val="center"/>
              <w:rPr>
                <w:b/>
              </w:rPr>
            </w:pPr>
            <w:r>
              <w:rPr>
                <w:b/>
              </w:rPr>
              <w:t>289.436,00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537AA2BE" w14:textId="7A777962" w:rsidR="00E63C6C" w:rsidRDefault="00E63C6C" w:rsidP="00E63C6C">
            <w:pPr>
              <w:jc w:val="center"/>
              <w:rPr>
                <w:b/>
              </w:rPr>
            </w:pPr>
            <w:r>
              <w:rPr>
                <w:b/>
              </w:rPr>
              <w:t>109.220,72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2C2407F" w14:textId="3D4EE765" w:rsidR="00E63C6C" w:rsidRPr="00474AC7" w:rsidRDefault="00E63C6C" w:rsidP="00E63C6C">
            <w:pPr>
              <w:jc w:val="center"/>
              <w:rPr>
                <w:b/>
              </w:rPr>
            </w:pPr>
            <w:r>
              <w:rPr>
                <w:b/>
              </w:rPr>
              <w:t>37,7</w:t>
            </w:r>
          </w:p>
        </w:tc>
      </w:tr>
      <w:tr w:rsidR="00E63C6C" w:rsidRPr="00873FF4" w14:paraId="374D822B" w14:textId="77777777" w:rsidTr="00E63C6C">
        <w:tc>
          <w:tcPr>
            <w:tcW w:w="3468" w:type="dxa"/>
            <w:tcBorders>
              <w:left w:val="single" w:sz="12" w:space="0" w:color="auto"/>
            </w:tcBorders>
          </w:tcPr>
          <w:p w14:paraId="215C4EC0" w14:textId="481750A7" w:rsidR="00E63C6C" w:rsidRPr="00474AC7" w:rsidRDefault="00E63C6C" w:rsidP="00E63C6C">
            <w:r>
              <w:t>Postrojenja i oprema</w:t>
            </w:r>
            <w:r w:rsidRPr="00474AC7">
              <w:t xml:space="preserve"> </w:t>
            </w:r>
          </w:p>
        </w:tc>
        <w:tc>
          <w:tcPr>
            <w:tcW w:w="2047" w:type="dxa"/>
          </w:tcPr>
          <w:p w14:paraId="00C04399" w14:textId="3C5DA0C1" w:rsidR="00E63C6C" w:rsidRDefault="00E63C6C" w:rsidP="00E63C6C">
            <w:pPr>
              <w:jc w:val="center"/>
            </w:pPr>
            <w:r>
              <w:t>115.436,00</w:t>
            </w:r>
          </w:p>
        </w:tc>
        <w:tc>
          <w:tcPr>
            <w:tcW w:w="2047" w:type="dxa"/>
          </w:tcPr>
          <w:p w14:paraId="2BA444CD" w14:textId="21BB75C8" w:rsidR="00E63C6C" w:rsidRDefault="00E63C6C" w:rsidP="00E63C6C">
            <w:pPr>
              <w:jc w:val="center"/>
            </w:pPr>
            <w:r>
              <w:t>109.220,72</w:t>
            </w:r>
          </w:p>
        </w:tc>
        <w:tc>
          <w:tcPr>
            <w:tcW w:w="952" w:type="dxa"/>
            <w:tcBorders>
              <w:right w:val="single" w:sz="12" w:space="0" w:color="auto"/>
            </w:tcBorders>
          </w:tcPr>
          <w:p w14:paraId="57F0432A" w14:textId="214F19FD" w:rsidR="00E63C6C" w:rsidRPr="00474AC7" w:rsidRDefault="00E63C6C" w:rsidP="00E63C6C">
            <w:pPr>
              <w:jc w:val="center"/>
            </w:pPr>
            <w:r>
              <w:t>94,6</w:t>
            </w:r>
          </w:p>
        </w:tc>
      </w:tr>
      <w:tr w:rsidR="00E63C6C" w:rsidRPr="00873FF4" w14:paraId="11963F85" w14:textId="77777777" w:rsidTr="00E63C6C">
        <w:tc>
          <w:tcPr>
            <w:tcW w:w="3468" w:type="dxa"/>
            <w:tcBorders>
              <w:left w:val="single" w:sz="12" w:space="0" w:color="auto"/>
            </w:tcBorders>
          </w:tcPr>
          <w:p w14:paraId="33877248" w14:textId="171341D1" w:rsidR="00E63C6C" w:rsidRPr="00474AC7" w:rsidRDefault="00E63C6C" w:rsidP="00E63C6C">
            <w:r>
              <w:t>Prijevozna sredstva</w:t>
            </w:r>
            <w:r w:rsidRPr="00474AC7">
              <w:t xml:space="preserve"> </w:t>
            </w:r>
          </w:p>
        </w:tc>
        <w:tc>
          <w:tcPr>
            <w:tcW w:w="2047" w:type="dxa"/>
          </w:tcPr>
          <w:p w14:paraId="476EBC52" w14:textId="6EECD53E" w:rsidR="00E63C6C" w:rsidRDefault="00E63C6C" w:rsidP="00E63C6C">
            <w:pPr>
              <w:jc w:val="center"/>
            </w:pPr>
            <w:r>
              <w:t>174.000,00</w:t>
            </w:r>
          </w:p>
        </w:tc>
        <w:tc>
          <w:tcPr>
            <w:tcW w:w="2047" w:type="dxa"/>
          </w:tcPr>
          <w:p w14:paraId="73649082" w14:textId="2CF46B5E" w:rsidR="00E63C6C" w:rsidRDefault="00E63C6C" w:rsidP="00E63C6C">
            <w:pPr>
              <w:jc w:val="center"/>
            </w:pPr>
            <w:r>
              <w:t>0,00</w:t>
            </w:r>
          </w:p>
        </w:tc>
        <w:tc>
          <w:tcPr>
            <w:tcW w:w="952" w:type="dxa"/>
            <w:tcBorders>
              <w:right w:val="single" w:sz="12" w:space="0" w:color="auto"/>
            </w:tcBorders>
          </w:tcPr>
          <w:p w14:paraId="7408D312" w14:textId="24B10466" w:rsidR="00E63C6C" w:rsidRPr="00474AC7" w:rsidRDefault="00E63C6C" w:rsidP="00E63C6C">
            <w:pPr>
              <w:jc w:val="center"/>
            </w:pPr>
            <w:r>
              <w:t>0,0</w:t>
            </w:r>
          </w:p>
        </w:tc>
      </w:tr>
      <w:tr w:rsidR="00E63C6C" w:rsidRPr="00873FF4" w14:paraId="01C215E9" w14:textId="77777777" w:rsidTr="00E63C6C">
        <w:tc>
          <w:tcPr>
            <w:tcW w:w="3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14:paraId="162F7864" w14:textId="4949FECF" w:rsidR="00E63C6C" w:rsidRPr="00354F42" w:rsidRDefault="00E63C6C" w:rsidP="00E63C6C">
            <w:pPr>
              <w:rPr>
                <w:b/>
              </w:rPr>
            </w:pPr>
            <w:r w:rsidRPr="00354F42">
              <w:rPr>
                <w:b/>
              </w:rPr>
              <w:t xml:space="preserve">Rashodi za dodatna ulaganja na nefinancijskoj imovini 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05CDCDCE" w14:textId="194FFFE9" w:rsidR="00E63C6C" w:rsidRDefault="00E63C6C" w:rsidP="00E63C6C">
            <w:pPr>
              <w:jc w:val="center"/>
              <w:rPr>
                <w:b/>
              </w:rPr>
            </w:pPr>
            <w:r>
              <w:rPr>
                <w:b/>
              </w:rPr>
              <w:t>642.198,00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1105A502" w14:textId="2B6C95D9" w:rsidR="00E63C6C" w:rsidRDefault="00E63C6C" w:rsidP="00E63C6C">
            <w:pPr>
              <w:jc w:val="center"/>
              <w:rPr>
                <w:b/>
              </w:rPr>
            </w:pPr>
            <w:r>
              <w:rPr>
                <w:b/>
              </w:rPr>
              <w:t>59.790,40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097FC98" w14:textId="2A7E03A1" w:rsidR="00E63C6C" w:rsidRPr="00354F42" w:rsidRDefault="00E63C6C" w:rsidP="00E63C6C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</w:tr>
      <w:tr w:rsidR="00E63C6C" w:rsidRPr="00873FF4" w14:paraId="616AEA4F" w14:textId="77777777" w:rsidTr="00E63C6C">
        <w:tc>
          <w:tcPr>
            <w:tcW w:w="3468" w:type="dxa"/>
            <w:tcBorders>
              <w:left w:val="single" w:sz="12" w:space="0" w:color="auto"/>
              <w:bottom w:val="single" w:sz="12" w:space="0" w:color="auto"/>
            </w:tcBorders>
          </w:tcPr>
          <w:p w14:paraId="0DCF3216" w14:textId="05295AFF" w:rsidR="00E63C6C" w:rsidRPr="006E7C3B" w:rsidRDefault="00E63C6C" w:rsidP="00E63C6C">
            <w:r w:rsidRPr="006E7C3B">
              <w:t>Dodatna ulag</w:t>
            </w:r>
            <w:r>
              <w:t>anja na građevinskim objektima</w:t>
            </w:r>
          </w:p>
        </w:tc>
        <w:tc>
          <w:tcPr>
            <w:tcW w:w="2047" w:type="dxa"/>
            <w:tcBorders>
              <w:bottom w:val="single" w:sz="12" w:space="0" w:color="auto"/>
            </w:tcBorders>
          </w:tcPr>
          <w:p w14:paraId="611AE9AB" w14:textId="2D195C05" w:rsidR="00E63C6C" w:rsidRDefault="00E63C6C" w:rsidP="00E63C6C">
            <w:pPr>
              <w:jc w:val="center"/>
            </w:pPr>
            <w:r>
              <w:t>642.198,00</w:t>
            </w:r>
          </w:p>
        </w:tc>
        <w:tc>
          <w:tcPr>
            <w:tcW w:w="2047" w:type="dxa"/>
            <w:tcBorders>
              <w:bottom w:val="single" w:sz="12" w:space="0" w:color="auto"/>
            </w:tcBorders>
          </w:tcPr>
          <w:p w14:paraId="6E6C1D3D" w14:textId="10F62C85" w:rsidR="00E63C6C" w:rsidRDefault="00E63C6C" w:rsidP="00E63C6C">
            <w:pPr>
              <w:jc w:val="center"/>
            </w:pPr>
            <w:r>
              <w:t>59.790,40</w:t>
            </w:r>
          </w:p>
        </w:tc>
        <w:tc>
          <w:tcPr>
            <w:tcW w:w="952" w:type="dxa"/>
            <w:tcBorders>
              <w:bottom w:val="single" w:sz="12" w:space="0" w:color="auto"/>
              <w:right w:val="single" w:sz="12" w:space="0" w:color="auto"/>
            </w:tcBorders>
          </w:tcPr>
          <w:p w14:paraId="44AAA439" w14:textId="4314F589" w:rsidR="00E63C6C" w:rsidRPr="006E7C3B" w:rsidRDefault="00E63C6C" w:rsidP="00E63C6C">
            <w:pPr>
              <w:jc w:val="center"/>
            </w:pPr>
            <w:r>
              <w:t>9,3</w:t>
            </w:r>
          </w:p>
        </w:tc>
      </w:tr>
    </w:tbl>
    <w:p w14:paraId="5DABBD1A" w14:textId="77777777" w:rsidR="003212E1" w:rsidRPr="002C6F71" w:rsidRDefault="003212E1" w:rsidP="003212E1">
      <w:pPr>
        <w:rPr>
          <w:b/>
        </w:rPr>
      </w:pPr>
    </w:p>
    <w:p w14:paraId="5B2D3664" w14:textId="77777777" w:rsidR="0006216D" w:rsidRPr="00C61173" w:rsidRDefault="0006216D" w:rsidP="00C61173">
      <w:pPr>
        <w:rPr>
          <w:b/>
          <w:sz w:val="28"/>
          <w:szCs w:val="28"/>
        </w:rPr>
      </w:pPr>
    </w:p>
    <w:p w14:paraId="708C7091" w14:textId="3D973FF8" w:rsidR="003212E1" w:rsidRDefault="003212E1" w:rsidP="003212E1">
      <w:pPr>
        <w:pStyle w:val="Odlomakpopisa"/>
        <w:rPr>
          <w:b/>
          <w:sz w:val="28"/>
          <w:szCs w:val="28"/>
        </w:rPr>
      </w:pPr>
      <w:r w:rsidRPr="002C6F71">
        <w:rPr>
          <w:b/>
          <w:sz w:val="28"/>
          <w:szCs w:val="28"/>
        </w:rPr>
        <w:t>REZULTAT</w:t>
      </w:r>
    </w:p>
    <w:p w14:paraId="6E7DD8D8" w14:textId="77777777" w:rsidR="007C677F" w:rsidRPr="002C6F71" w:rsidRDefault="007C677F" w:rsidP="003212E1">
      <w:pPr>
        <w:pStyle w:val="Odlomakpopisa"/>
        <w:rPr>
          <w:b/>
          <w:sz w:val="28"/>
          <w:szCs w:val="28"/>
        </w:rPr>
      </w:pPr>
    </w:p>
    <w:p w14:paraId="05C88E3C" w14:textId="77777777" w:rsidR="007C677F" w:rsidRDefault="003212E1" w:rsidP="007C677F">
      <w:pPr>
        <w:pStyle w:val="Odlomakpopisa"/>
        <w:numPr>
          <w:ilvl w:val="0"/>
          <w:numId w:val="13"/>
        </w:numPr>
        <w:jc w:val="both"/>
      </w:pPr>
      <w:r w:rsidRPr="00BA0B0D">
        <w:t xml:space="preserve">Ukupni prihodi </w:t>
      </w:r>
      <w:r w:rsidR="00F60516" w:rsidRPr="00BA0B0D">
        <w:t xml:space="preserve">u promatranom razdoblju iznose </w:t>
      </w:r>
      <w:r w:rsidR="007C677F">
        <w:t>37.114.493,68</w:t>
      </w:r>
      <w:r w:rsidRPr="00BA0B0D">
        <w:t xml:space="preserve"> kn. </w:t>
      </w:r>
    </w:p>
    <w:p w14:paraId="3BC0A709" w14:textId="449E5CA9" w:rsidR="003212E1" w:rsidRDefault="003212E1" w:rsidP="007C677F">
      <w:pPr>
        <w:pStyle w:val="Odlomakpopisa"/>
        <w:numPr>
          <w:ilvl w:val="0"/>
          <w:numId w:val="13"/>
        </w:numPr>
        <w:jc w:val="both"/>
      </w:pPr>
      <w:r w:rsidRPr="00BA0B0D">
        <w:t>Ukupni rashodi</w:t>
      </w:r>
      <w:r w:rsidR="007C677F">
        <w:t xml:space="preserve"> </w:t>
      </w:r>
      <w:r w:rsidR="00F60516" w:rsidRPr="00BA0B0D">
        <w:t xml:space="preserve">u promatranom razdoblju iznose </w:t>
      </w:r>
      <w:r w:rsidR="007C677F">
        <w:t>36.549.490,96</w:t>
      </w:r>
      <w:r w:rsidRPr="00BA0B0D">
        <w:t xml:space="preserve"> kn. </w:t>
      </w:r>
    </w:p>
    <w:p w14:paraId="0A558FF2" w14:textId="44AFCB13" w:rsidR="007C677F" w:rsidRPr="00BA0B0D" w:rsidRDefault="007C677F" w:rsidP="007C677F">
      <w:pPr>
        <w:pStyle w:val="Odlomakpopisa"/>
        <w:numPr>
          <w:ilvl w:val="0"/>
          <w:numId w:val="13"/>
        </w:numPr>
        <w:jc w:val="both"/>
      </w:pPr>
      <w:r>
        <w:t>Višak prihoda i primitaka iznosi 565.002,72 kn</w:t>
      </w:r>
    </w:p>
    <w:p w14:paraId="4700E4DF" w14:textId="2EAF91DC" w:rsidR="003212E1" w:rsidRPr="00BA0B0D" w:rsidRDefault="003212E1" w:rsidP="007C677F">
      <w:pPr>
        <w:pStyle w:val="Odlomakpopisa"/>
        <w:numPr>
          <w:ilvl w:val="0"/>
          <w:numId w:val="13"/>
        </w:numPr>
        <w:jc w:val="both"/>
      </w:pPr>
      <w:r w:rsidRPr="00BA0B0D">
        <w:t xml:space="preserve">Višak prihoda i primitaka – preneseni </w:t>
      </w:r>
      <w:r w:rsidR="007C677F">
        <w:t xml:space="preserve"> iznosi 506.352,09</w:t>
      </w:r>
      <w:r w:rsidRPr="00BA0B0D">
        <w:t xml:space="preserve"> kn </w:t>
      </w:r>
    </w:p>
    <w:p w14:paraId="15AE98B4" w14:textId="77777777" w:rsidR="003212E1" w:rsidRPr="00BA0B0D" w:rsidRDefault="003212E1" w:rsidP="0006216D">
      <w:pPr>
        <w:jc w:val="both"/>
      </w:pPr>
    </w:p>
    <w:p w14:paraId="6624DCC6" w14:textId="6BCB028E" w:rsidR="003212E1" w:rsidRPr="00BA0B0D" w:rsidRDefault="001E48B6" w:rsidP="0006216D">
      <w:pPr>
        <w:jc w:val="both"/>
      </w:pPr>
      <w:r w:rsidRPr="00BA0B0D">
        <w:t>Na dan 31.12.202</w:t>
      </w:r>
      <w:r w:rsidR="007C677F">
        <w:t>2</w:t>
      </w:r>
      <w:r w:rsidR="003212E1" w:rsidRPr="00BA0B0D">
        <w:t>. godine višak prihoda i primitaka raspoloživ u sljedećem razdoblju</w:t>
      </w:r>
      <w:r w:rsidR="007C677F">
        <w:t xml:space="preserve"> </w:t>
      </w:r>
      <w:r w:rsidR="00FA4760" w:rsidRPr="00BA0B0D">
        <w:t xml:space="preserve">iznosi </w:t>
      </w:r>
      <w:r w:rsidR="007C677F">
        <w:t>1.071.354,81</w:t>
      </w:r>
      <w:r w:rsidR="003212E1" w:rsidRPr="00BA0B0D">
        <w:t xml:space="preserve"> kn. Višak prihoda se sastoji od </w:t>
      </w:r>
      <w:r w:rsidR="003212E1" w:rsidRPr="00BA0B0D">
        <w:rPr>
          <w:rFonts w:eastAsiaTheme="minorHAnsi"/>
          <w:lang w:eastAsia="en-US"/>
        </w:rPr>
        <w:t>prenesenog prihoda prethodnih godina</w:t>
      </w:r>
      <w:r w:rsidR="007C677F">
        <w:rPr>
          <w:rFonts w:eastAsiaTheme="minorHAnsi"/>
          <w:lang w:eastAsia="en-US"/>
        </w:rPr>
        <w:t>, odnosno neutrošenih vlastitih prihoda od pružanja usluga</w:t>
      </w:r>
      <w:r w:rsidR="003212E1" w:rsidRPr="00BA0B0D">
        <w:rPr>
          <w:rFonts w:eastAsiaTheme="minorHAnsi"/>
          <w:lang w:eastAsia="en-US"/>
        </w:rPr>
        <w:t>.</w:t>
      </w:r>
    </w:p>
    <w:p w14:paraId="2F36784A" w14:textId="77777777" w:rsidR="003212E1" w:rsidRPr="00BA0B0D" w:rsidRDefault="003212E1" w:rsidP="0006216D">
      <w:pPr>
        <w:jc w:val="both"/>
      </w:pPr>
    </w:p>
    <w:p w14:paraId="57B178FC" w14:textId="5F9D9E99" w:rsidR="003212E1" w:rsidRDefault="003212E1" w:rsidP="0006216D">
      <w:pPr>
        <w:jc w:val="both"/>
      </w:pPr>
      <w:r w:rsidRPr="00BA0B0D">
        <w:t>Stanje novčanih sredstava na početku izvještajnog razdoblja i na kraju izvještajnog razdoblja</w:t>
      </w:r>
      <w:r w:rsidR="007C677F">
        <w:t xml:space="preserve"> </w:t>
      </w:r>
      <w:r w:rsidRPr="00BA0B0D">
        <w:t>je 0,00 kn. Prosječan broj zaposlenih na početku</w:t>
      </w:r>
      <w:r w:rsidR="007C677F">
        <w:t xml:space="preserve"> i na kraju</w:t>
      </w:r>
      <w:r w:rsidRPr="00BA0B0D">
        <w:t xml:space="preserve"> </w:t>
      </w:r>
      <w:r w:rsidR="004E4E8F">
        <w:t xml:space="preserve">izvještajnog razdoblja je </w:t>
      </w:r>
      <w:r w:rsidR="007C677F">
        <w:t>39.</w:t>
      </w:r>
    </w:p>
    <w:p w14:paraId="3CDA3D75" w14:textId="1B747E3C" w:rsidR="007C677F" w:rsidRDefault="007C677F" w:rsidP="0006216D">
      <w:pPr>
        <w:jc w:val="both"/>
      </w:pPr>
    </w:p>
    <w:p w14:paraId="5F1B7745" w14:textId="3BBB8A1A" w:rsidR="007C677F" w:rsidRDefault="007C677F" w:rsidP="0006216D">
      <w:pPr>
        <w:jc w:val="both"/>
      </w:pPr>
    </w:p>
    <w:p w14:paraId="6756A4A1" w14:textId="77777777" w:rsidR="00FA4760" w:rsidRDefault="00FA4760" w:rsidP="003212E1">
      <w:pPr>
        <w:rPr>
          <w:color w:val="FF0000"/>
        </w:rPr>
      </w:pPr>
    </w:p>
    <w:p w14:paraId="01F6B166" w14:textId="77777777" w:rsidR="003212E1" w:rsidRPr="00E106F0" w:rsidRDefault="003212E1" w:rsidP="003212E1">
      <w:pPr>
        <w:rPr>
          <w:color w:val="FF0000"/>
        </w:rPr>
      </w:pPr>
    </w:p>
    <w:p w14:paraId="700041A9" w14:textId="77777777" w:rsidR="003212E1" w:rsidRPr="00FA4760" w:rsidRDefault="003212E1" w:rsidP="00FA4760">
      <w:pPr>
        <w:pStyle w:val="Odlomakpopisa"/>
        <w:numPr>
          <w:ilvl w:val="0"/>
          <w:numId w:val="1"/>
        </w:numPr>
        <w:spacing w:after="160" w:line="259" w:lineRule="auto"/>
        <w:rPr>
          <w:rFonts w:eastAsiaTheme="minorHAnsi"/>
          <w:b/>
          <w:lang w:eastAsia="en-US"/>
        </w:rPr>
      </w:pPr>
      <w:r w:rsidRPr="00FA4760">
        <w:rPr>
          <w:rFonts w:eastAsiaTheme="minorHAnsi"/>
          <w:b/>
          <w:lang w:eastAsia="en-US"/>
        </w:rPr>
        <w:t>BILJEŠKE UZ BILANCU- OBRAZAC BIL</w:t>
      </w:r>
    </w:p>
    <w:p w14:paraId="54E3E5A9" w14:textId="168618BC" w:rsidR="003212E1" w:rsidRPr="009D711F" w:rsidRDefault="00382D4F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0</w:t>
      </w:r>
      <w:r w:rsidR="003212E1" w:rsidRPr="009D711F">
        <w:rPr>
          <w:rFonts w:eastAsiaTheme="minorHAnsi"/>
          <w:lang w:eastAsia="en-US"/>
        </w:rPr>
        <w:t xml:space="preserve"> - Nefinancijska imovina</w:t>
      </w:r>
    </w:p>
    <w:p w14:paraId="45EE5923" w14:textId="38C20ED5" w:rsidR="003212E1" w:rsidRPr="005C2AD8" w:rsidRDefault="003212E1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9D711F">
        <w:rPr>
          <w:rFonts w:eastAsiaTheme="minorHAnsi"/>
          <w:lang w:eastAsia="en-US"/>
        </w:rPr>
        <w:t>-</w:t>
      </w:r>
      <w:r w:rsidRPr="009D711F">
        <w:rPr>
          <w:rFonts w:eastAsiaTheme="minorHAnsi"/>
          <w:lang w:eastAsia="en-US"/>
        </w:rPr>
        <w:tab/>
      </w:r>
      <w:r w:rsidRPr="00744057">
        <w:rPr>
          <w:rFonts w:eastAsiaTheme="minorHAnsi"/>
          <w:lang w:eastAsia="en-US"/>
        </w:rPr>
        <w:t xml:space="preserve">na početku godine nefinancijska imovina iznosila je </w:t>
      </w:r>
      <w:r w:rsidR="00382D4F">
        <w:rPr>
          <w:rFonts w:eastAsiaTheme="minorHAnsi"/>
          <w:lang w:eastAsia="en-US"/>
        </w:rPr>
        <w:t>99.632.263,00</w:t>
      </w:r>
      <w:r w:rsidRPr="00744057">
        <w:rPr>
          <w:rFonts w:eastAsiaTheme="minorHAnsi"/>
          <w:lang w:eastAsia="en-US"/>
        </w:rPr>
        <w:t xml:space="preserve"> kn, a na kraju godine </w:t>
      </w:r>
      <w:r w:rsidR="00382D4F">
        <w:rPr>
          <w:rFonts w:eastAsiaTheme="minorHAnsi"/>
          <w:lang w:eastAsia="en-US"/>
        </w:rPr>
        <w:t>105.368.588,43</w:t>
      </w:r>
      <w:r w:rsidRPr="00744057">
        <w:rPr>
          <w:rFonts w:eastAsiaTheme="minorHAnsi"/>
          <w:lang w:eastAsia="en-US"/>
        </w:rPr>
        <w:t xml:space="preserve"> </w:t>
      </w:r>
      <w:r w:rsidRPr="005C2AD8">
        <w:rPr>
          <w:rFonts w:eastAsiaTheme="minorHAnsi"/>
          <w:lang w:eastAsia="en-US"/>
        </w:rPr>
        <w:t>kn.</w:t>
      </w:r>
    </w:p>
    <w:p w14:paraId="699EB56A" w14:textId="45927077" w:rsidR="003212E1" w:rsidRPr="00174A4A" w:rsidRDefault="003212E1" w:rsidP="00174A4A">
      <w:pPr>
        <w:spacing w:after="160" w:line="259" w:lineRule="auto"/>
        <w:ind w:left="360"/>
        <w:jc w:val="both"/>
        <w:rPr>
          <w:rFonts w:eastAsiaTheme="minorHAnsi"/>
          <w:color w:val="70AD47" w:themeColor="accent6"/>
          <w:lang w:eastAsia="en-US"/>
        </w:rPr>
      </w:pPr>
      <w:r w:rsidRPr="00744057">
        <w:rPr>
          <w:rFonts w:eastAsiaTheme="minorHAnsi"/>
          <w:lang w:eastAsia="en-US"/>
        </w:rPr>
        <w:t>Javna ustanova ''Memorijalni centar Domovinsk</w:t>
      </w:r>
      <w:r w:rsidR="00744057" w:rsidRPr="00744057">
        <w:rPr>
          <w:rFonts w:eastAsiaTheme="minorHAnsi"/>
          <w:lang w:eastAsia="en-US"/>
        </w:rPr>
        <w:t>og rata Vukovar'' je tijekom 202</w:t>
      </w:r>
      <w:r w:rsidR="00382D4F">
        <w:rPr>
          <w:rFonts w:eastAsiaTheme="minorHAnsi"/>
          <w:lang w:eastAsia="en-US"/>
        </w:rPr>
        <w:t>2</w:t>
      </w:r>
      <w:r w:rsidRPr="00744057">
        <w:rPr>
          <w:rFonts w:eastAsiaTheme="minorHAnsi"/>
          <w:lang w:eastAsia="en-US"/>
        </w:rPr>
        <w:t>. godine</w:t>
      </w:r>
      <w:r w:rsidR="00382D4F">
        <w:rPr>
          <w:rFonts w:eastAsiaTheme="minorHAnsi"/>
          <w:lang w:eastAsia="en-US"/>
        </w:rPr>
        <w:t xml:space="preserve"> utvrdila i evidentirala vrijednost imovine koja je u vlasništvu </w:t>
      </w:r>
      <w:r w:rsidR="00045A99">
        <w:rPr>
          <w:rFonts w:eastAsiaTheme="minorHAnsi"/>
          <w:lang w:eastAsia="en-US"/>
        </w:rPr>
        <w:t xml:space="preserve">RH a pod upravljanjem i održavanjem </w:t>
      </w:r>
      <w:r w:rsidR="00382D4F">
        <w:rPr>
          <w:rFonts w:eastAsiaTheme="minorHAnsi"/>
          <w:lang w:eastAsia="en-US"/>
        </w:rPr>
        <w:t xml:space="preserve">MCDR Vukovar. Predmetna imovina </w:t>
      </w:r>
      <w:r w:rsidR="00045A99">
        <w:rPr>
          <w:rFonts w:eastAsiaTheme="minorHAnsi"/>
          <w:lang w:eastAsia="en-US"/>
        </w:rPr>
        <w:t>evidentirana u bilanci i Središnjem registru državne imovine tijekom 2022. godine su</w:t>
      </w:r>
      <w:r w:rsidR="00045A99" w:rsidRPr="00045A99">
        <w:rPr>
          <w:rFonts w:eastAsiaTheme="minorHAnsi"/>
          <w:lang w:eastAsia="en-US"/>
        </w:rPr>
        <w:t xml:space="preserve"> Spomen dom hrvatskih branitelja na Trpinjskoj cesti i Oranica </w:t>
      </w:r>
      <w:proofErr w:type="spellStart"/>
      <w:r w:rsidR="00045A99" w:rsidRPr="00045A99">
        <w:rPr>
          <w:rFonts w:eastAsiaTheme="minorHAnsi"/>
          <w:lang w:eastAsia="en-US"/>
        </w:rPr>
        <w:t>Erovac</w:t>
      </w:r>
      <w:proofErr w:type="spellEnd"/>
      <w:r w:rsidR="00045A99">
        <w:rPr>
          <w:rFonts w:eastAsiaTheme="minorHAnsi"/>
          <w:lang w:eastAsia="en-US"/>
        </w:rPr>
        <w:t>.</w:t>
      </w:r>
    </w:p>
    <w:p w14:paraId="08A2A4FD" w14:textId="0F9186D3" w:rsidR="003212E1" w:rsidRPr="009D711F" w:rsidRDefault="00045A99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212E1" w:rsidRPr="009D711F">
        <w:rPr>
          <w:rFonts w:eastAsiaTheme="minorHAnsi"/>
          <w:lang w:eastAsia="en-US"/>
        </w:rPr>
        <w:t xml:space="preserve"> - Financijska imovina</w:t>
      </w:r>
    </w:p>
    <w:p w14:paraId="62A02C97" w14:textId="1DF165F7" w:rsidR="003212E1" w:rsidRPr="001E48B6" w:rsidRDefault="003212E1" w:rsidP="0006216D">
      <w:pPr>
        <w:spacing w:after="160" w:line="259" w:lineRule="auto"/>
        <w:ind w:left="360"/>
        <w:jc w:val="both"/>
        <w:rPr>
          <w:rFonts w:eastAsiaTheme="minorHAnsi"/>
          <w:color w:val="FF0000"/>
          <w:lang w:eastAsia="en-US"/>
        </w:rPr>
      </w:pPr>
      <w:r w:rsidRPr="00744057">
        <w:rPr>
          <w:rFonts w:eastAsiaTheme="minorHAnsi"/>
          <w:lang w:eastAsia="en-US"/>
        </w:rPr>
        <w:t xml:space="preserve">- na početku godine financijska imovina iznosila je </w:t>
      </w:r>
      <w:r w:rsidR="006C1D2F">
        <w:rPr>
          <w:rFonts w:eastAsiaTheme="minorHAnsi"/>
          <w:lang w:eastAsia="en-US"/>
        </w:rPr>
        <w:t>1.</w:t>
      </w:r>
      <w:r w:rsidR="00045A99">
        <w:rPr>
          <w:rFonts w:eastAsiaTheme="minorHAnsi"/>
          <w:lang w:eastAsia="en-US"/>
        </w:rPr>
        <w:t>049.997</w:t>
      </w:r>
      <w:r w:rsidRPr="00744057">
        <w:rPr>
          <w:rFonts w:eastAsiaTheme="minorHAnsi"/>
          <w:lang w:eastAsia="en-US"/>
        </w:rPr>
        <w:t>,00 k</w:t>
      </w:r>
      <w:r w:rsidR="008D03DB" w:rsidRPr="00744057">
        <w:rPr>
          <w:rFonts w:eastAsiaTheme="minorHAnsi"/>
          <w:lang w:eastAsia="en-US"/>
        </w:rPr>
        <w:t xml:space="preserve">n, a na kraju godine       </w:t>
      </w:r>
      <w:r w:rsidR="008D03DB" w:rsidRPr="00744057">
        <w:rPr>
          <w:rFonts w:eastAsiaTheme="minorHAnsi"/>
          <w:lang w:eastAsia="en-US"/>
        </w:rPr>
        <w:tab/>
        <w:t xml:space="preserve">   </w:t>
      </w:r>
      <w:r w:rsidR="006C1D2F">
        <w:rPr>
          <w:rFonts w:eastAsiaTheme="minorHAnsi"/>
          <w:lang w:eastAsia="en-US"/>
        </w:rPr>
        <w:t>1.</w:t>
      </w:r>
      <w:r w:rsidR="00045A99">
        <w:rPr>
          <w:rFonts w:eastAsiaTheme="minorHAnsi"/>
          <w:lang w:eastAsia="en-US"/>
        </w:rPr>
        <w:t>818.449,78</w:t>
      </w:r>
      <w:r w:rsidRPr="00744057">
        <w:rPr>
          <w:rFonts w:eastAsiaTheme="minorHAnsi"/>
          <w:lang w:eastAsia="en-US"/>
        </w:rPr>
        <w:t xml:space="preserve"> kn.</w:t>
      </w:r>
    </w:p>
    <w:p w14:paraId="35DB7CEA" w14:textId="2B128264" w:rsidR="003212E1" w:rsidRPr="00744057" w:rsidRDefault="003212E1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744057">
        <w:rPr>
          <w:rFonts w:eastAsiaTheme="minorHAnsi"/>
          <w:lang w:eastAsia="en-US"/>
        </w:rPr>
        <w:t xml:space="preserve">Potraživanja za prihode </w:t>
      </w:r>
      <w:r w:rsidR="00744057" w:rsidRPr="00744057">
        <w:rPr>
          <w:rFonts w:eastAsiaTheme="minorHAnsi"/>
          <w:lang w:eastAsia="en-US"/>
        </w:rPr>
        <w:t xml:space="preserve">poslovanja </w:t>
      </w:r>
      <w:r w:rsidR="00045A99">
        <w:rPr>
          <w:rFonts w:eastAsiaTheme="minorHAnsi"/>
          <w:lang w:eastAsia="en-US"/>
        </w:rPr>
        <w:t>povećana su</w:t>
      </w:r>
      <w:r w:rsidRPr="00744057">
        <w:rPr>
          <w:rFonts w:eastAsiaTheme="minorHAnsi"/>
          <w:lang w:eastAsia="en-US"/>
        </w:rPr>
        <w:t xml:space="preserve"> u odnosu na prethodnu go</w:t>
      </w:r>
      <w:r w:rsidR="008D03DB" w:rsidRPr="00744057">
        <w:rPr>
          <w:rFonts w:eastAsiaTheme="minorHAnsi"/>
          <w:lang w:eastAsia="en-US"/>
        </w:rPr>
        <w:t xml:space="preserve">dinu iz razloga što </w:t>
      </w:r>
      <w:r w:rsidR="00035EA1">
        <w:rPr>
          <w:rFonts w:eastAsiaTheme="minorHAnsi"/>
          <w:lang w:eastAsia="en-US"/>
        </w:rPr>
        <w:t>je ostvareno više prihoda od pružanja usluga u odnosu na godinu kada su bile na snazi COVID mjere pa su samim time i potraživanja proračunskih korisnika za sredstva uplaćena u nadležni proračun povećana.</w:t>
      </w:r>
    </w:p>
    <w:p w14:paraId="351CDDBD" w14:textId="50E17B50" w:rsidR="00B5292E" w:rsidRPr="009D711F" w:rsidRDefault="003212E1" w:rsidP="00174A4A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D9254C">
        <w:rPr>
          <w:rFonts w:eastAsiaTheme="minorHAnsi"/>
          <w:lang w:eastAsia="en-US"/>
        </w:rPr>
        <w:t>Rashodi budućih</w:t>
      </w:r>
      <w:r w:rsidR="00136DB4">
        <w:rPr>
          <w:rFonts w:eastAsiaTheme="minorHAnsi"/>
          <w:lang w:eastAsia="en-US"/>
        </w:rPr>
        <w:t xml:space="preserve"> razdoblja</w:t>
      </w:r>
      <w:r w:rsidR="00035EA1">
        <w:rPr>
          <w:rFonts w:eastAsiaTheme="minorHAnsi"/>
          <w:lang w:eastAsia="en-US"/>
        </w:rPr>
        <w:t xml:space="preserve"> </w:t>
      </w:r>
      <w:r w:rsidRPr="00136DB4">
        <w:rPr>
          <w:rFonts w:eastAsiaTheme="minorHAnsi"/>
          <w:lang w:eastAsia="en-US"/>
        </w:rPr>
        <w:t xml:space="preserve">iznose </w:t>
      </w:r>
      <w:r w:rsidR="00035EA1">
        <w:rPr>
          <w:rFonts w:eastAsiaTheme="minorHAnsi"/>
          <w:lang w:eastAsia="en-US"/>
        </w:rPr>
        <w:t>725.434,08</w:t>
      </w:r>
      <w:r w:rsidRPr="00136DB4">
        <w:rPr>
          <w:rFonts w:eastAsiaTheme="minorHAnsi"/>
          <w:lang w:eastAsia="en-US"/>
        </w:rPr>
        <w:t xml:space="preserve"> kn, a</w:t>
      </w:r>
      <w:r w:rsidR="00136DB4" w:rsidRPr="00136DB4">
        <w:rPr>
          <w:rFonts w:eastAsiaTheme="minorHAnsi"/>
          <w:lang w:eastAsia="en-US"/>
        </w:rPr>
        <w:t xml:space="preserve"> isti sadrže </w:t>
      </w:r>
      <w:r w:rsidRPr="00136DB4">
        <w:rPr>
          <w:rFonts w:eastAsiaTheme="minorHAnsi"/>
          <w:lang w:eastAsia="en-US"/>
        </w:rPr>
        <w:t>rashode za zaposlene i režijske troškove.</w:t>
      </w:r>
    </w:p>
    <w:p w14:paraId="3CDA20E6" w14:textId="6D8D95E5" w:rsidR="003212E1" w:rsidRPr="009D711F" w:rsidRDefault="00035EA1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3212E1" w:rsidRPr="009D711F">
        <w:rPr>
          <w:rFonts w:eastAsiaTheme="minorHAnsi"/>
          <w:lang w:eastAsia="en-US"/>
        </w:rPr>
        <w:t>- Višak prihoda /</w:t>
      </w:r>
      <w:r w:rsidR="00095E87">
        <w:rPr>
          <w:rFonts w:eastAsiaTheme="minorHAnsi"/>
          <w:lang w:eastAsia="en-US"/>
        </w:rPr>
        <w:t xml:space="preserve"> </w:t>
      </w:r>
      <w:r w:rsidR="003212E1" w:rsidRPr="009D711F">
        <w:rPr>
          <w:rFonts w:eastAsiaTheme="minorHAnsi"/>
          <w:lang w:eastAsia="en-US"/>
        </w:rPr>
        <w:t>Manjak prihoda</w:t>
      </w:r>
    </w:p>
    <w:p w14:paraId="172CF657" w14:textId="7B790A50" w:rsidR="003212E1" w:rsidRPr="00112A4F" w:rsidRDefault="003212E1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136DB4">
        <w:rPr>
          <w:rFonts w:eastAsiaTheme="minorHAnsi"/>
          <w:lang w:eastAsia="en-US"/>
        </w:rPr>
        <w:t xml:space="preserve">Višak prihoda </w:t>
      </w:r>
      <w:r w:rsidR="00035EA1">
        <w:rPr>
          <w:rFonts w:eastAsiaTheme="minorHAnsi"/>
          <w:lang w:eastAsia="en-US"/>
        </w:rPr>
        <w:t>1.071.354,81</w:t>
      </w:r>
      <w:r w:rsidRPr="00136DB4">
        <w:rPr>
          <w:rFonts w:eastAsiaTheme="minorHAnsi"/>
          <w:lang w:eastAsia="en-US"/>
        </w:rPr>
        <w:t xml:space="preserve"> kn </w:t>
      </w:r>
      <w:r w:rsidR="00035EA1">
        <w:rPr>
          <w:rFonts w:eastAsiaTheme="minorHAnsi"/>
          <w:lang w:eastAsia="en-US"/>
        </w:rPr>
        <w:t>–</w:t>
      </w:r>
      <w:r w:rsidRPr="00136DB4">
        <w:rPr>
          <w:rFonts w:eastAsiaTheme="minorHAnsi"/>
          <w:lang w:eastAsia="en-US"/>
        </w:rPr>
        <w:t xml:space="preserve"> čini</w:t>
      </w:r>
      <w:r w:rsidR="00035EA1">
        <w:rPr>
          <w:rFonts w:eastAsiaTheme="minorHAnsi"/>
          <w:lang w:eastAsia="en-US"/>
        </w:rPr>
        <w:t xml:space="preserve"> zbroj viška poslovanja tekuće godine i</w:t>
      </w:r>
      <w:r w:rsidRPr="00136DB4">
        <w:rPr>
          <w:rFonts w:eastAsiaTheme="minorHAnsi"/>
          <w:lang w:eastAsia="en-US"/>
        </w:rPr>
        <w:t xml:space="preserve"> prenesen</w:t>
      </w:r>
      <w:r w:rsidR="00035EA1">
        <w:rPr>
          <w:rFonts w:eastAsiaTheme="minorHAnsi"/>
          <w:lang w:eastAsia="en-US"/>
        </w:rPr>
        <w:t>og</w:t>
      </w:r>
      <w:r w:rsidRPr="00136DB4">
        <w:rPr>
          <w:rFonts w:eastAsiaTheme="minorHAnsi"/>
          <w:lang w:eastAsia="en-US"/>
        </w:rPr>
        <w:t xml:space="preserve"> viš</w:t>
      </w:r>
      <w:r w:rsidR="00035EA1">
        <w:rPr>
          <w:rFonts w:eastAsiaTheme="minorHAnsi"/>
          <w:lang w:eastAsia="en-US"/>
        </w:rPr>
        <w:t>ka prethodne godine.</w:t>
      </w:r>
    </w:p>
    <w:p w14:paraId="616CF99B" w14:textId="77777777" w:rsidR="00174A4A" w:rsidRDefault="00174A4A" w:rsidP="0006216D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6141B8C4" w14:textId="6BBC75B0" w:rsidR="005E51EA" w:rsidRDefault="003212E1" w:rsidP="0006216D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Sukladno čl.1</w:t>
      </w:r>
      <w:r w:rsidRPr="006D4840">
        <w:rPr>
          <w:rFonts w:eastAsiaTheme="minorHAnsi"/>
          <w:lang w:eastAsia="en-US"/>
        </w:rPr>
        <w:t xml:space="preserve"> Pravilnika o</w:t>
      </w:r>
      <w:r>
        <w:rPr>
          <w:rFonts w:eastAsiaTheme="minorHAnsi"/>
          <w:lang w:eastAsia="en-US"/>
        </w:rPr>
        <w:t xml:space="preserve"> izmjenama pravilnika o</w:t>
      </w:r>
      <w:r w:rsidRPr="006D4840">
        <w:rPr>
          <w:rFonts w:eastAsiaTheme="minorHAnsi"/>
          <w:lang w:eastAsia="en-US"/>
        </w:rPr>
        <w:t xml:space="preserve"> financijskom izvještavanju </w:t>
      </w:r>
      <w:r>
        <w:rPr>
          <w:rFonts w:eastAsiaTheme="minorHAnsi"/>
          <w:lang w:eastAsia="en-US"/>
        </w:rPr>
        <w:t xml:space="preserve">u proračunskom računovodstvu </w:t>
      </w:r>
      <w:r w:rsidR="00A11E7A">
        <w:rPr>
          <w:rFonts w:eastAsiaTheme="minorHAnsi"/>
          <w:lang w:eastAsia="en-US"/>
        </w:rPr>
        <w:t>(</w:t>
      </w:r>
      <w:r w:rsidR="00A11E7A" w:rsidRPr="00A11E7A">
        <w:rPr>
          <w:rFonts w:eastAsiaTheme="minorHAnsi"/>
          <w:lang w:eastAsia="en-US"/>
        </w:rPr>
        <w:t xml:space="preserve">NN 112/2018 </w:t>
      </w:r>
      <w:r w:rsidR="00A11E7A">
        <w:rPr>
          <w:rFonts w:eastAsiaTheme="minorHAnsi"/>
          <w:lang w:eastAsia="en-US"/>
        </w:rPr>
        <w:t xml:space="preserve">) </w:t>
      </w:r>
      <w:r w:rsidRPr="006D4840">
        <w:rPr>
          <w:rFonts w:eastAsiaTheme="minorHAnsi"/>
          <w:lang w:eastAsia="en-US"/>
        </w:rPr>
        <w:t xml:space="preserve">u nastavku dajemo pregled tablica koje su </w:t>
      </w:r>
      <w:r>
        <w:rPr>
          <w:rFonts w:eastAsiaTheme="minorHAnsi"/>
          <w:lang w:eastAsia="en-US"/>
        </w:rPr>
        <w:t xml:space="preserve">obvezni dio Bilješki uz Bilancu: </w:t>
      </w:r>
    </w:p>
    <w:p w14:paraId="46EF2482" w14:textId="77777777" w:rsidR="003212E1" w:rsidRPr="006C69E1" w:rsidRDefault="003212E1" w:rsidP="003212E1">
      <w:pPr>
        <w:pStyle w:val="Odlomakpopisa"/>
        <w:numPr>
          <w:ilvl w:val="0"/>
          <w:numId w:val="9"/>
        </w:numPr>
        <w:spacing w:after="160" w:line="259" w:lineRule="auto"/>
        <w:rPr>
          <w:rFonts w:eastAsiaTheme="minorHAnsi"/>
          <w:lang w:eastAsia="en-US"/>
        </w:rPr>
      </w:pPr>
      <w:r w:rsidRPr="006C69E1">
        <w:rPr>
          <w:rFonts w:eastAsiaTheme="minorHAnsi"/>
          <w:lang w:eastAsia="en-US"/>
        </w:rPr>
        <w:t>Popis sudskih sporova u tijeku.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1081"/>
        <w:gridCol w:w="1206"/>
        <w:gridCol w:w="1276"/>
        <w:gridCol w:w="1418"/>
        <w:gridCol w:w="708"/>
        <w:gridCol w:w="792"/>
        <w:gridCol w:w="909"/>
        <w:gridCol w:w="1412"/>
      </w:tblGrid>
      <w:tr w:rsidR="003212E1" w:rsidRPr="00FC53C9" w14:paraId="51949CBC" w14:textId="77777777" w:rsidTr="003212E1">
        <w:trPr>
          <w:trHeight w:val="1035"/>
        </w:trPr>
        <w:tc>
          <w:tcPr>
            <w:tcW w:w="543" w:type="dxa"/>
            <w:noWrap/>
            <w:hideMark/>
          </w:tcPr>
          <w:p w14:paraId="5F585BCD" w14:textId="77777777"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>R. br.</w:t>
            </w:r>
          </w:p>
        </w:tc>
        <w:tc>
          <w:tcPr>
            <w:tcW w:w="1081" w:type="dxa"/>
            <w:noWrap/>
            <w:hideMark/>
          </w:tcPr>
          <w:p w14:paraId="5BC6B9BD" w14:textId="77777777"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>Tuženik</w:t>
            </w:r>
          </w:p>
        </w:tc>
        <w:tc>
          <w:tcPr>
            <w:tcW w:w="1206" w:type="dxa"/>
            <w:noWrap/>
            <w:hideMark/>
          </w:tcPr>
          <w:p w14:paraId="71D06192" w14:textId="77777777"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>Tužitelj</w:t>
            </w:r>
          </w:p>
        </w:tc>
        <w:tc>
          <w:tcPr>
            <w:tcW w:w="1276" w:type="dxa"/>
            <w:hideMark/>
          </w:tcPr>
          <w:p w14:paraId="623C1D0A" w14:textId="77777777"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Sažeti opis prirode spora </w:t>
            </w:r>
          </w:p>
        </w:tc>
        <w:tc>
          <w:tcPr>
            <w:tcW w:w="1418" w:type="dxa"/>
            <w:noWrap/>
            <w:hideMark/>
          </w:tcPr>
          <w:p w14:paraId="37330457" w14:textId="77777777"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Iznos glavnice </w:t>
            </w:r>
          </w:p>
        </w:tc>
        <w:tc>
          <w:tcPr>
            <w:tcW w:w="708" w:type="dxa"/>
            <w:hideMark/>
          </w:tcPr>
          <w:p w14:paraId="3B3A532D" w14:textId="77777777"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Procjena financijskog učinka </w:t>
            </w:r>
          </w:p>
        </w:tc>
        <w:tc>
          <w:tcPr>
            <w:tcW w:w="792" w:type="dxa"/>
            <w:hideMark/>
          </w:tcPr>
          <w:p w14:paraId="4795A975" w14:textId="77777777"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Procijenjeno vrijeme odljeva sredstava </w:t>
            </w:r>
          </w:p>
        </w:tc>
        <w:tc>
          <w:tcPr>
            <w:tcW w:w="909" w:type="dxa"/>
            <w:hideMark/>
          </w:tcPr>
          <w:p w14:paraId="5392CB9D" w14:textId="77777777"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Početak sudskog spora </w:t>
            </w:r>
          </w:p>
        </w:tc>
        <w:tc>
          <w:tcPr>
            <w:tcW w:w="1412" w:type="dxa"/>
            <w:noWrap/>
            <w:hideMark/>
          </w:tcPr>
          <w:p w14:paraId="419A2545" w14:textId="77777777"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Napomena </w:t>
            </w:r>
          </w:p>
        </w:tc>
      </w:tr>
      <w:tr w:rsidR="003212E1" w:rsidRPr="00FC53C9" w14:paraId="689713DC" w14:textId="77777777" w:rsidTr="003212E1">
        <w:trPr>
          <w:trHeight w:val="630"/>
        </w:trPr>
        <w:tc>
          <w:tcPr>
            <w:tcW w:w="543" w:type="dxa"/>
            <w:noWrap/>
            <w:hideMark/>
          </w:tcPr>
          <w:p w14:paraId="4D4DBBE0" w14:textId="77777777" w:rsidR="003212E1" w:rsidRPr="00FC53C9" w:rsidRDefault="003212E1" w:rsidP="003212E1">
            <w:r w:rsidRPr="00FC53C9">
              <w:t xml:space="preserve">1. </w:t>
            </w:r>
          </w:p>
        </w:tc>
        <w:tc>
          <w:tcPr>
            <w:tcW w:w="1081" w:type="dxa"/>
            <w:hideMark/>
          </w:tcPr>
          <w:p w14:paraId="3A2D6993" w14:textId="77777777" w:rsidR="003212E1" w:rsidRPr="00FC53C9" w:rsidRDefault="003212E1" w:rsidP="003212E1">
            <w:r w:rsidRPr="00FC53C9">
              <w:t>MCDR</w:t>
            </w:r>
          </w:p>
        </w:tc>
        <w:tc>
          <w:tcPr>
            <w:tcW w:w="1206" w:type="dxa"/>
            <w:hideMark/>
          </w:tcPr>
          <w:p w14:paraId="7B380723" w14:textId="3E550F71" w:rsidR="003212E1" w:rsidRPr="00FC53C9" w:rsidRDefault="009E5984" w:rsidP="003212E1">
            <w:r>
              <w:t>Djelatnici</w:t>
            </w:r>
          </w:p>
        </w:tc>
        <w:tc>
          <w:tcPr>
            <w:tcW w:w="1276" w:type="dxa"/>
            <w:hideMark/>
          </w:tcPr>
          <w:p w14:paraId="2F76C8A5" w14:textId="37E69B7C" w:rsidR="003212E1" w:rsidRPr="00FC53C9" w:rsidRDefault="00C81468" w:rsidP="003212E1">
            <w:r w:rsidRPr="00C81468">
              <w:t>Tužb</w:t>
            </w:r>
            <w:r>
              <w:t>e</w:t>
            </w:r>
            <w:r w:rsidRPr="00C81468">
              <w:t xml:space="preserve"> radi isplate razlika u plaćama</w:t>
            </w:r>
          </w:p>
        </w:tc>
        <w:tc>
          <w:tcPr>
            <w:tcW w:w="1418" w:type="dxa"/>
            <w:hideMark/>
          </w:tcPr>
          <w:p w14:paraId="7AFC3063" w14:textId="4391A84B" w:rsidR="003212E1" w:rsidRPr="00FC53C9" w:rsidRDefault="00035EA1" w:rsidP="003212E1">
            <w:r>
              <w:t>47.264,07 kn</w:t>
            </w:r>
          </w:p>
        </w:tc>
        <w:tc>
          <w:tcPr>
            <w:tcW w:w="708" w:type="dxa"/>
            <w:hideMark/>
          </w:tcPr>
          <w:p w14:paraId="37D94CFD" w14:textId="77777777" w:rsidR="003212E1" w:rsidRPr="00FC53C9" w:rsidRDefault="003212E1" w:rsidP="003212E1">
            <w:r w:rsidRPr="00FC53C9">
              <w:t>obveza</w:t>
            </w:r>
          </w:p>
        </w:tc>
        <w:tc>
          <w:tcPr>
            <w:tcW w:w="792" w:type="dxa"/>
            <w:hideMark/>
          </w:tcPr>
          <w:p w14:paraId="266B45AD" w14:textId="7503FC22" w:rsidR="003212E1" w:rsidRPr="00FC53C9" w:rsidRDefault="003212E1" w:rsidP="008B1C7C">
            <w:r w:rsidRPr="00FC53C9">
              <w:t>20</w:t>
            </w:r>
            <w:r w:rsidR="008B1C7C">
              <w:t>2</w:t>
            </w:r>
            <w:r w:rsidR="00035EA1">
              <w:t>3</w:t>
            </w:r>
            <w:r w:rsidRPr="00FC53C9">
              <w:t>. god.</w:t>
            </w:r>
          </w:p>
        </w:tc>
        <w:tc>
          <w:tcPr>
            <w:tcW w:w="909" w:type="dxa"/>
            <w:hideMark/>
          </w:tcPr>
          <w:p w14:paraId="7C5CC76D" w14:textId="224D5059" w:rsidR="003212E1" w:rsidRPr="00FC53C9" w:rsidRDefault="003212E1" w:rsidP="003212E1">
            <w:r w:rsidRPr="00FC53C9">
              <w:t> 20</w:t>
            </w:r>
            <w:r w:rsidR="00C81468">
              <w:t>21</w:t>
            </w:r>
            <w:r w:rsidRPr="00FC53C9">
              <w:t>. god</w:t>
            </w:r>
          </w:p>
        </w:tc>
        <w:tc>
          <w:tcPr>
            <w:tcW w:w="1412" w:type="dxa"/>
            <w:hideMark/>
          </w:tcPr>
          <w:p w14:paraId="0E5B88AD" w14:textId="6E93FF7B" w:rsidR="003212E1" w:rsidRPr="00FC53C9" w:rsidRDefault="003212E1" w:rsidP="003212E1"/>
        </w:tc>
      </w:tr>
    </w:tbl>
    <w:p w14:paraId="34FE01B0" w14:textId="44E73CB6" w:rsidR="003212E1" w:rsidRDefault="003212E1" w:rsidP="0006216D">
      <w:pPr>
        <w:spacing w:after="160" w:line="276" w:lineRule="auto"/>
        <w:jc w:val="both"/>
        <w:rPr>
          <w:rFonts w:eastAsiaTheme="minorHAnsi"/>
          <w:b/>
          <w:lang w:eastAsia="en-US"/>
        </w:rPr>
      </w:pPr>
    </w:p>
    <w:p w14:paraId="7610E6B5" w14:textId="77777777" w:rsidR="002E0ECB" w:rsidRDefault="002E0ECB" w:rsidP="0006216D">
      <w:pPr>
        <w:spacing w:after="160" w:line="276" w:lineRule="auto"/>
        <w:jc w:val="both"/>
        <w:rPr>
          <w:rFonts w:eastAsiaTheme="minorHAnsi"/>
          <w:b/>
          <w:lang w:eastAsia="en-US"/>
        </w:rPr>
      </w:pPr>
    </w:p>
    <w:p w14:paraId="78726C8D" w14:textId="77777777" w:rsidR="003E73D3" w:rsidRDefault="003212E1" w:rsidP="0006216D">
      <w:pPr>
        <w:pStyle w:val="Odlomakpopisa"/>
        <w:numPr>
          <w:ilvl w:val="0"/>
          <w:numId w:val="9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6C69E1">
        <w:rPr>
          <w:rFonts w:eastAsiaTheme="minorHAnsi"/>
          <w:lang w:eastAsia="en-US"/>
        </w:rPr>
        <w:lastRenderedPageBreak/>
        <w:t xml:space="preserve">Popis ugovornih odnosa i slično koji uz ispunjenje određenih uvjeta, mogu postati </w:t>
      </w:r>
    </w:p>
    <w:p w14:paraId="0F937ECE" w14:textId="555A2E1E" w:rsidR="003212E1" w:rsidRPr="003E73D3" w:rsidRDefault="003212E1" w:rsidP="003E73D3">
      <w:pPr>
        <w:pStyle w:val="Odlomakpopisa"/>
        <w:spacing w:after="160" w:line="259" w:lineRule="auto"/>
        <w:ind w:left="1080"/>
        <w:jc w:val="both"/>
        <w:rPr>
          <w:rFonts w:eastAsiaTheme="minorHAnsi"/>
          <w:lang w:eastAsia="en-US"/>
        </w:rPr>
      </w:pPr>
      <w:r w:rsidRPr="006C69E1">
        <w:rPr>
          <w:rFonts w:eastAsiaTheme="minorHAnsi"/>
          <w:lang w:eastAsia="en-US"/>
        </w:rPr>
        <w:t>obveza ili imovina</w:t>
      </w:r>
      <w:r w:rsidRPr="003E73D3">
        <w:rPr>
          <w:rFonts w:eastAsiaTheme="minorHAnsi"/>
          <w:lang w:eastAsia="en-US"/>
        </w:rPr>
        <w:t xml:space="preserve"> </w:t>
      </w:r>
    </w:p>
    <w:tbl>
      <w:tblPr>
        <w:tblW w:w="8220" w:type="dxa"/>
        <w:tblLook w:val="04A0" w:firstRow="1" w:lastRow="0" w:firstColumn="1" w:lastColumn="0" w:noHBand="0" w:noVBand="1"/>
      </w:tblPr>
      <w:tblGrid>
        <w:gridCol w:w="820"/>
        <w:gridCol w:w="1420"/>
        <w:gridCol w:w="1680"/>
        <w:gridCol w:w="1900"/>
        <w:gridCol w:w="2400"/>
      </w:tblGrid>
      <w:tr w:rsidR="00035EA1" w14:paraId="2692B539" w14:textId="77777777" w:rsidTr="00174A4A">
        <w:trPr>
          <w:trHeight w:val="67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CAAFC21" w14:textId="77777777" w:rsidR="00035EA1" w:rsidRDefault="00035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R. br.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6977B32" w14:textId="77777777" w:rsidR="00035EA1" w:rsidRDefault="00035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primanja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C5DF4B9" w14:textId="77777777" w:rsidR="00035EA1" w:rsidRDefault="00035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Instrument osiguranja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B822296" w14:textId="77777777" w:rsidR="00035EA1" w:rsidRDefault="00035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Iznos primljeni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4A75DC56" w14:textId="77777777" w:rsidR="00035EA1" w:rsidRDefault="00035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Davatelj</w:t>
            </w:r>
          </w:p>
        </w:tc>
      </w:tr>
      <w:tr w:rsidR="00035EA1" w14:paraId="10913452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0759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D1A6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20.05.2015.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B1DC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Bjanko zadužnica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159E" w14:textId="77777777" w:rsidR="00035EA1" w:rsidRDefault="00035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404A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Udruga hrvatskih branitelja dragovoljaca Domovinskog rata </w:t>
            </w:r>
          </w:p>
        </w:tc>
      </w:tr>
      <w:tr w:rsidR="00035EA1" w14:paraId="119821BB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F4AC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3DE2" w14:textId="77777777" w:rsidR="00035EA1" w:rsidRDefault="00035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13.10.2015.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C0F3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Bjanko zadužnica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E673" w14:textId="77777777" w:rsidR="00035EA1" w:rsidRDefault="00035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77C8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SUHOMONT d.o.o. </w:t>
            </w:r>
          </w:p>
        </w:tc>
      </w:tr>
      <w:tr w:rsidR="00035EA1" w14:paraId="3DED3600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FF8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76F0" w14:textId="77777777" w:rsidR="00035EA1" w:rsidRDefault="00035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B7B7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Bankarska garancija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E238" w14:textId="77777777" w:rsidR="00035EA1" w:rsidRDefault="00035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499.454,71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1FD7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SUHOMONT d.o.o. </w:t>
            </w:r>
          </w:p>
        </w:tc>
      </w:tr>
      <w:tr w:rsidR="00035EA1" w14:paraId="48E7305D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8600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8C55" w14:textId="77777777" w:rsidR="00035EA1" w:rsidRDefault="00035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18.12.2015.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8D05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Bankarska garancija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C120" w14:textId="77777777" w:rsidR="00035EA1" w:rsidRDefault="00035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399.563,77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A6F7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SUHOMONT d.o.o. </w:t>
            </w:r>
          </w:p>
        </w:tc>
      </w:tr>
      <w:tr w:rsidR="00035EA1" w14:paraId="5DD9D342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496F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0583" w14:textId="77777777" w:rsidR="00035EA1" w:rsidRDefault="00035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326D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Bankarska garancija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7682" w14:textId="77777777" w:rsidR="00035EA1" w:rsidRDefault="00035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1.694.764,70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3D41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SUHOMONT d.o.o. </w:t>
            </w:r>
          </w:p>
        </w:tc>
      </w:tr>
      <w:tr w:rsidR="00035EA1" w14:paraId="5C117A57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735B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1E82" w14:textId="77777777" w:rsidR="00035EA1" w:rsidRDefault="00035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03.10.2016.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40C3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Bankarska garancija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4306" w14:textId="77777777" w:rsidR="00035EA1" w:rsidRDefault="00035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578.494,54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E9E9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SUHOMONT d.o.o. </w:t>
            </w:r>
          </w:p>
        </w:tc>
      </w:tr>
      <w:tr w:rsidR="00035EA1" w14:paraId="19E3F81C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4E9F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FCA3" w14:textId="77777777" w:rsidR="00035EA1" w:rsidRDefault="00035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31.05.2019.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A8A4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Bjanko zadužnica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9AF5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5.000,00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7AC0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ELEMETWEB </w:t>
            </w:r>
            <w:proofErr w:type="spellStart"/>
            <w:r>
              <w:rPr>
                <w:color w:val="000000"/>
                <w:sz w:val="22"/>
                <w:szCs w:val="22"/>
              </w:rPr>
              <w:t>j.d.o.o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35EA1" w14:paraId="12E09D6F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1446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B3EC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08.01.2021.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2D31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7D13" w14:textId="77777777" w:rsidR="00035EA1" w:rsidRDefault="00035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3EA8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Applicon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d.o.o. </w:t>
            </w:r>
          </w:p>
        </w:tc>
      </w:tr>
      <w:tr w:rsidR="00035EA1" w14:paraId="1AFADC29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5C1A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34CE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10.01.2022.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70C5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Bjanko zadužnica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F64F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5.000,00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E5C8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Iliric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-EKO d.o.o. </w:t>
            </w:r>
          </w:p>
        </w:tc>
      </w:tr>
      <w:tr w:rsidR="00035EA1" w14:paraId="5C9A7E8E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D4B5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E5FE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13.01.2022.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0AA2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Bjanko zadužnica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95A9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500.000,00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FB2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STANIĆ d.o.o. </w:t>
            </w:r>
          </w:p>
        </w:tc>
      </w:tr>
      <w:tr w:rsidR="00035EA1" w14:paraId="626C113E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0732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DB6F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20.01.2022.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1C18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Garancija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BEB4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27.259,68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CE23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Lupus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Zaštita d.o.o. </w:t>
            </w:r>
          </w:p>
        </w:tc>
      </w:tr>
      <w:tr w:rsidR="00035EA1" w14:paraId="2B912B55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7387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F37B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08.02.2022.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B609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Bjanko zadužnica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56F4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5.000,00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A6C1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Tehnostan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d.o.o.</w:t>
            </w:r>
          </w:p>
        </w:tc>
      </w:tr>
      <w:tr w:rsidR="00035EA1" w14:paraId="6B414E93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2109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4936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27.06.2022.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68AB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Novčani polog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4FFA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3.112,00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D3DA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DMK SERVISI d.o.o.</w:t>
            </w:r>
          </w:p>
        </w:tc>
      </w:tr>
      <w:tr w:rsidR="00035EA1" w14:paraId="0F20A905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56C9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40C0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25.07.2022.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D685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A52D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88AA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TAPESS d.o.o.</w:t>
            </w:r>
          </w:p>
        </w:tc>
      </w:tr>
      <w:tr w:rsidR="00035EA1" w14:paraId="69D8A04C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CE53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381F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12.09.2022.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BB60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Bankarska garancija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41F8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973.886,20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A236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Vincek d.o.o.</w:t>
            </w:r>
          </w:p>
        </w:tc>
      </w:tr>
      <w:tr w:rsidR="00035EA1" w14:paraId="28669DDB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63AB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6BB6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2818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Bankarska garancija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E7AC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94.292,40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B237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Pleter-usluge d.o.o.</w:t>
            </w:r>
          </w:p>
        </w:tc>
      </w:tr>
      <w:tr w:rsidR="00035EA1" w14:paraId="5E884B9D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A50B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393D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B360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Bankarska garancija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3806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68.670,62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2955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Pleter-usluge d.o.o.</w:t>
            </w:r>
          </w:p>
        </w:tc>
      </w:tr>
      <w:tr w:rsidR="00035EA1" w14:paraId="083ABA0E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A68B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FA8A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26.09.2022.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4405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Bankarska garancija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3D06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42.593,25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D469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Lupus</w:t>
            </w:r>
            <w:proofErr w:type="spellEnd"/>
            <w:r>
              <w:rPr>
                <w:color w:val="000000"/>
                <w:sz w:val="22"/>
                <w:szCs w:val="22"/>
              </w:rPr>
              <w:t>-Zaštita d.o.o.</w:t>
            </w:r>
          </w:p>
        </w:tc>
      </w:tr>
      <w:tr w:rsidR="00035EA1" w14:paraId="2D4613F7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72DE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88F0" w14:textId="77777777" w:rsidR="00035EA1" w:rsidRDefault="00035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344F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7B5C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16F42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Lupus</w:t>
            </w:r>
            <w:proofErr w:type="spellEnd"/>
            <w:r>
              <w:rPr>
                <w:color w:val="000000"/>
                <w:sz w:val="22"/>
                <w:szCs w:val="22"/>
              </w:rPr>
              <w:t>-Zaštita d.o.o.</w:t>
            </w:r>
          </w:p>
        </w:tc>
      </w:tr>
      <w:tr w:rsidR="00035EA1" w14:paraId="029D536D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AE2A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6D61" w14:textId="77777777" w:rsidR="00035EA1" w:rsidRDefault="00035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70046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255B1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6675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Lupus</w:t>
            </w:r>
            <w:proofErr w:type="spellEnd"/>
            <w:r>
              <w:rPr>
                <w:color w:val="000000"/>
                <w:sz w:val="22"/>
                <w:szCs w:val="22"/>
              </w:rPr>
              <w:t>-Zaštita d.o.o.</w:t>
            </w:r>
          </w:p>
        </w:tc>
      </w:tr>
      <w:tr w:rsidR="00035EA1" w14:paraId="356CF378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238F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102C" w14:textId="77777777" w:rsidR="00035EA1" w:rsidRDefault="00035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560E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E2A69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50.000,00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B106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Lav zaštita d.o.o.</w:t>
            </w:r>
          </w:p>
        </w:tc>
      </w:tr>
      <w:tr w:rsidR="00035EA1" w14:paraId="4B026910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1697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6A16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21.11.2022.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8F8E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Novčani polog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11F3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15.000,00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8F8A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AKD ZAŠTITA d.o.o.</w:t>
            </w:r>
          </w:p>
        </w:tc>
      </w:tr>
      <w:tr w:rsidR="00035EA1" w14:paraId="69F8F5A5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730A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1383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21.11.2022.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4A01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D1CB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50.000,00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32E2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Noky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security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d.o.o.</w:t>
            </w:r>
          </w:p>
        </w:tc>
      </w:tr>
      <w:tr w:rsidR="00035EA1" w14:paraId="1D3B5168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AA37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2A957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08.12.2022.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752A3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Bjanko </w:t>
            </w:r>
            <w:proofErr w:type="spellStart"/>
            <w:r>
              <w:rPr>
                <w:color w:val="000000"/>
                <w:sz w:val="22"/>
                <w:szCs w:val="22"/>
              </w:rPr>
              <w:t>zadužnca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FD7F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5.000,00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D983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Obrt za proizvodnju, usluge i trgovinu, </w:t>
            </w:r>
            <w:proofErr w:type="spellStart"/>
            <w:r>
              <w:rPr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color w:val="000000"/>
                <w:sz w:val="22"/>
                <w:szCs w:val="22"/>
              </w:rPr>
              <w:t>. Petra Čikara Mikić</w:t>
            </w:r>
          </w:p>
        </w:tc>
      </w:tr>
      <w:tr w:rsidR="00035EA1" w14:paraId="692B04FE" w14:textId="77777777" w:rsidTr="00174A4A">
        <w:trPr>
          <w:trHeight w:val="8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BBF5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49D2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09.12.2022.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D062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2A4D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50.000,00 kn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98A0" w14:textId="77777777" w:rsidR="00035EA1" w:rsidRDefault="00035E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Lineta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d.o.o.</w:t>
            </w:r>
          </w:p>
        </w:tc>
      </w:tr>
    </w:tbl>
    <w:p w14:paraId="018D5F3F" w14:textId="3804DA28" w:rsidR="001D3714" w:rsidRPr="001D3714" w:rsidRDefault="001D3714" w:rsidP="0006216D">
      <w:pPr>
        <w:spacing w:after="160" w:line="276" w:lineRule="auto"/>
        <w:jc w:val="both"/>
        <w:rPr>
          <w:rFonts w:eastAsiaTheme="minorHAnsi"/>
          <w:b/>
          <w:lang w:eastAsia="en-US"/>
        </w:rPr>
      </w:pPr>
    </w:p>
    <w:p w14:paraId="278B9322" w14:textId="048B2F2B" w:rsidR="003212E1" w:rsidRDefault="003212E1" w:rsidP="0006216D">
      <w:pPr>
        <w:spacing w:after="160" w:line="276" w:lineRule="auto"/>
        <w:jc w:val="both"/>
        <w:rPr>
          <w:rFonts w:eastAsiaTheme="minorHAnsi"/>
          <w:lang w:eastAsia="en-US"/>
        </w:rPr>
      </w:pPr>
      <w:r w:rsidRPr="008629D1">
        <w:rPr>
          <w:rFonts w:eastAsiaTheme="minorHAnsi"/>
          <w:lang w:eastAsia="en-US"/>
        </w:rPr>
        <w:t xml:space="preserve">- </w:t>
      </w:r>
      <w:proofErr w:type="spellStart"/>
      <w:r w:rsidRPr="008629D1">
        <w:rPr>
          <w:rFonts w:eastAsiaTheme="minorHAnsi"/>
          <w:lang w:eastAsia="en-US"/>
        </w:rPr>
        <w:t>Izvanbilančni</w:t>
      </w:r>
      <w:proofErr w:type="spellEnd"/>
      <w:r w:rsidRPr="008629D1">
        <w:rPr>
          <w:rFonts w:eastAsiaTheme="minorHAnsi"/>
          <w:lang w:eastAsia="en-US"/>
        </w:rPr>
        <w:t xml:space="preserve"> zapisi</w:t>
      </w:r>
      <w:r>
        <w:rPr>
          <w:rFonts w:eastAsiaTheme="minorHAnsi"/>
          <w:lang w:eastAsia="en-US"/>
        </w:rPr>
        <w:t xml:space="preserve"> su ujedno i pregled svih ugovornih odnosa </w:t>
      </w:r>
      <w:r w:rsidRPr="008629D1">
        <w:rPr>
          <w:rFonts w:eastAsiaTheme="minorHAnsi"/>
          <w:lang w:eastAsia="en-US"/>
        </w:rPr>
        <w:t xml:space="preserve">i slično koji uz ispunjenje određenih uvjeta, mogu postati obveza ili imovina u </w:t>
      </w:r>
      <w:r>
        <w:rPr>
          <w:rFonts w:eastAsiaTheme="minorHAnsi"/>
          <w:lang w:eastAsia="en-US"/>
        </w:rPr>
        <w:t>20</w:t>
      </w:r>
      <w:r w:rsidR="00C02789">
        <w:rPr>
          <w:rFonts w:eastAsiaTheme="minorHAnsi"/>
          <w:lang w:eastAsia="en-US"/>
        </w:rPr>
        <w:t>2</w:t>
      </w:r>
      <w:r w:rsidR="00174A4A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</w:t>
      </w:r>
      <w:r w:rsidR="0047056C">
        <w:rPr>
          <w:rFonts w:eastAsiaTheme="minorHAnsi"/>
          <w:lang w:eastAsia="en-US"/>
        </w:rPr>
        <w:t xml:space="preserve"> godini.</w:t>
      </w:r>
      <w:r>
        <w:rPr>
          <w:rFonts w:eastAsiaTheme="minorHAnsi"/>
          <w:lang w:eastAsia="en-US"/>
        </w:rPr>
        <w:t xml:space="preserve"> </w:t>
      </w:r>
    </w:p>
    <w:p w14:paraId="65AFEC33" w14:textId="29055BC9" w:rsidR="00174A4A" w:rsidRDefault="00174A4A" w:rsidP="0006216D">
      <w:pPr>
        <w:spacing w:after="160" w:line="276" w:lineRule="auto"/>
        <w:jc w:val="both"/>
        <w:rPr>
          <w:rFonts w:eastAsiaTheme="minorHAnsi"/>
          <w:lang w:eastAsia="en-US"/>
        </w:rPr>
      </w:pPr>
    </w:p>
    <w:p w14:paraId="5E29FAEA" w14:textId="5FFAAFF6" w:rsidR="003212E1" w:rsidRPr="00F80F4F" w:rsidRDefault="003212E1" w:rsidP="0006216D">
      <w:pPr>
        <w:spacing w:line="276" w:lineRule="auto"/>
        <w:jc w:val="both"/>
        <w:rPr>
          <w:b/>
          <w:caps/>
        </w:rPr>
      </w:pPr>
      <w:r w:rsidRPr="00F80F4F">
        <w:rPr>
          <w:b/>
          <w:caps/>
        </w:rPr>
        <w:t>IV . Bilješke uz</w:t>
      </w:r>
      <w:r w:rsidR="00095E87">
        <w:rPr>
          <w:b/>
          <w:caps/>
        </w:rPr>
        <w:t xml:space="preserve"> </w:t>
      </w:r>
      <w:r w:rsidRPr="00F80F4F">
        <w:rPr>
          <w:b/>
          <w:caps/>
        </w:rPr>
        <w:t>IZVJEŠTAJ O PROMJENAMA VRIJEDNOSTI I OBUJMU IMOVINE</w:t>
      </w:r>
      <w:r>
        <w:rPr>
          <w:b/>
          <w:caps/>
        </w:rPr>
        <w:t xml:space="preserve"> </w:t>
      </w:r>
      <w:r w:rsidRPr="00F80F4F">
        <w:rPr>
          <w:b/>
          <w:caps/>
        </w:rPr>
        <w:t>I OBVEZA- OBRAZAC  P-VRIO</w:t>
      </w:r>
    </w:p>
    <w:p w14:paraId="0B8BCDD2" w14:textId="77777777" w:rsidR="003212E1" w:rsidRPr="00F80F4F" w:rsidRDefault="003212E1" w:rsidP="0006216D">
      <w:pPr>
        <w:spacing w:line="276" w:lineRule="auto"/>
        <w:jc w:val="both"/>
        <w:rPr>
          <w:b/>
        </w:rPr>
      </w:pPr>
    </w:p>
    <w:p w14:paraId="199E0350" w14:textId="264CDA21" w:rsidR="00174A4A" w:rsidRDefault="00174A4A" w:rsidP="0006216D">
      <w:pPr>
        <w:jc w:val="both"/>
      </w:pPr>
      <w:r>
        <w:t>Povećanje</w:t>
      </w:r>
      <w:r w:rsidR="003212E1" w:rsidRPr="00112A4F">
        <w:t xml:space="preserve"> u obujmu imovine od </w:t>
      </w:r>
      <w:r>
        <w:t>6.029.851,43</w:t>
      </w:r>
      <w:r w:rsidR="003212E1" w:rsidRPr="00112A4F">
        <w:t xml:space="preserve"> kn</w:t>
      </w:r>
      <w:r>
        <w:t xml:space="preserve"> odnosi se na </w:t>
      </w:r>
      <w:r w:rsidRPr="00174A4A">
        <w:t>evidentira</w:t>
      </w:r>
      <w:r>
        <w:t>nje</w:t>
      </w:r>
      <w:r w:rsidRPr="00174A4A">
        <w:t xml:space="preserve"> vrijednost</w:t>
      </w:r>
      <w:r>
        <w:t>i</w:t>
      </w:r>
      <w:r w:rsidRPr="00174A4A">
        <w:t xml:space="preserve"> imovine koja je u vlasništvu RH a pod upravljanjem i održavanjem MCDR Vukovar. Predmetna imovina evidentirana u bilanci i Središnjem registru državne imovine tijekom 2022. godine su Spomen dom hrvatskih branitelja na Trpinjskoj cesti i Oranica </w:t>
      </w:r>
      <w:proofErr w:type="spellStart"/>
      <w:r w:rsidRPr="00174A4A">
        <w:t>Erovac</w:t>
      </w:r>
      <w:proofErr w:type="spellEnd"/>
      <w:r w:rsidRPr="00174A4A">
        <w:t>.</w:t>
      </w:r>
      <w:r>
        <w:t xml:space="preserve"> </w:t>
      </w:r>
      <w:r w:rsidR="003212E1" w:rsidRPr="00112A4F">
        <w:t xml:space="preserve">  </w:t>
      </w:r>
    </w:p>
    <w:p w14:paraId="452A488D" w14:textId="5FCA7D6B" w:rsidR="003914C4" w:rsidRPr="003914C4" w:rsidRDefault="00174A4A" w:rsidP="0006216D">
      <w:pPr>
        <w:jc w:val="both"/>
        <w:rPr>
          <w:rFonts w:eastAsiaTheme="minorHAnsi"/>
          <w:lang w:eastAsia="en-US"/>
        </w:rPr>
      </w:pPr>
      <w:r>
        <w:t>Smanjenje u iznosu od 2</w:t>
      </w:r>
      <w:r w:rsidR="001765C8">
        <w:t>4</w:t>
      </w:r>
      <w:r>
        <w:t>.509,33</w:t>
      </w:r>
      <w:r w:rsidR="00807728">
        <w:t xml:space="preserve"> kn </w:t>
      </w:r>
      <w:r w:rsidR="003212E1" w:rsidRPr="00112A4F">
        <w:t xml:space="preserve">odnosi se </w:t>
      </w:r>
      <w:r w:rsidR="003212E1">
        <w:t xml:space="preserve">na </w:t>
      </w:r>
      <w:r w:rsidR="003212E1" w:rsidRPr="00112A4F">
        <w:t>rashodovanje dotrajale dugotrajne imovine</w:t>
      </w:r>
      <w:r w:rsidR="00887404">
        <w:t>.</w:t>
      </w:r>
    </w:p>
    <w:p w14:paraId="41AD2FD6" w14:textId="77777777" w:rsidR="00B8348D" w:rsidRPr="003914C4" w:rsidRDefault="00B8348D" w:rsidP="0006216D">
      <w:pPr>
        <w:spacing w:line="276" w:lineRule="auto"/>
        <w:jc w:val="both"/>
        <w:rPr>
          <w:color w:val="FF0000"/>
        </w:rPr>
      </w:pPr>
    </w:p>
    <w:p w14:paraId="59EA5966" w14:textId="0E748C94" w:rsidR="00C61173" w:rsidRPr="00174A4A" w:rsidRDefault="00C61173" w:rsidP="00174A4A">
      <w:pPr>
        <w:spacing w:line="276" w:lineRule="auto"/>
        <w:jc w:val="both"/>
        <w:rPr>
          <w:color w:val="FF0000"/>
        </w:rPr>
      </w:pPr>
    </w:p>
    <w:p w14:paraId="2841BA2C" w14:textId="77777777" w:rsidR="00C61173" w:rsidRPr="00F80F4F" w:rsidRDefault="00C61173" w:rsidP="0006216D">
      <w:pPr>
        <w:pStyle w:val="Odlomakpopisa"/>
        <w:spacing w:line="276" w:lineRule="auto"/>
        <w:ind w:left="1068"/>
        <w:jc w:val="both"/>
        <w:rPr>
          <w:color w:val="FF0000"/>
        </w:rPr>
      </w:pPr>
    </w:p>
    <w:p w14:paraId="204EC1F9" w14:textId="77777777" w:rsidR="003212E1" w:rsidRPr="00B145D9" w:rsidRDefault="003212E1" w:rsidP="0006216D">
      <w:pPr>
        <w:pStyle w:val="Odlomakpopisa"/>
        <w:numPr>
          <w:ilvl w:val="0"/>
          <w:numId w:val="7"/>
        </w:numPr>
        <w:spacing w:line="276" w:lineRule="auto"/>
        <w:jc w:val="both"/>
        <w:rPr>
          <w:b/>
        </w:rPr>
      </w:pPr>
      <w:r w:rsidRPr="00B145D9">
        <w:rPr>
          <w:b/>
          <w:caps/>
        </w:rPr>
        <w:t>Bilješka uz IZVJEŠTAJ O RASHODIMA PREMA FUNKCIJSKOJ KLASIFIKACIJI- OBRAZAC</w:t>
      </w:r>
      <w:r w:rsidRPr="00B145D9">
        <w:rPr>
          <w:b/>
        </w:rPr>
        <w:t xml:space="preserve"> RAS-funkcijski</w:t>
      </w:r>
    </w:p>
    <w:p w14:paraId="08743983" w14:textId="77777777" w:rsidR="003212E1" w:rsidRPr="00F80F4F" w:rsidRDefault="003212E1" w:rsidP="0006216D">
      <w:pPr>
        <w:spacing w:line="276" w:lineRule="auto"/>
        <w:jc w:val="both"/>
        <w:rPr>
          <w:color w:val="FF0000"/>
        </w:rPr>
      </w:pPr>
    </w:p>
    <w:p w14:paraId="4CF05ADA" w14:textId="65A49506" w:rsidR="003212E1" w:rsidRDefault="003212E1" w:rsidP="003E73D3">
      <w:pPr>
        <w:spacing w:line="276" w:lineRule="auto"/>
        <w:jc w:val="both"/>
      </w:pPr>
      <w:r w:rsidRPr="0038431B">
        <w:t>Prema funkcijskoj klasifikaciji rashodi poslovanja razreda 3 i rashodi poslovanja razred</w:t>
      </w:r>
      <w:r>
        <w:t>a 4 Javne ustanove svrstani su</w:t>
      </w:r>
      <w:r w:rsidRPr="0038431B">
        <w:t xml:space="preserve"> na</w:t>
      </w:r>
      <w:r w:rsidR="00B8348D">
        <w:t xml:space="preserve"> </w:t>
      </w:r>
      <w:r w:rsidR="00174A4A">
        <w:t>04</w:t>
      </w:r>
      <w:r w:rsidR="00807728">
        <w:t xml:space="preserve"> </w:t>
      </w:r>
      <w:r w:rsidR="00174A4A">
        <w:t>- Ekonomski poslovi</w:t>
      </w:r>
      <w:r w:rsidR="00B8348D">
        <w:t xml:space="preserve"> u iznosu od </w:t>
      </w:r>
      <w:r w:rsidR="00174A4A">
        <w:t>8.143.487,42</w:t>
      </w:r>
      <w:r w:rsidR="00B8348D">
        <w:t xml:space="preserve"> kn,  </w:t>
      </w:r>
      <w:r w:rsidR="00174A4A">
        <w:t>08</w:t>
      </w:r>
      <w:r w:rsidRPr="0038431B">
        <w:t xml:space="preserve"> </w:t>
      </w:r>
      <w:r w:rsidR="00B8348D">
        <w:t>-</w:t>
      </w:r>
      <w:r w:rsidR="003E73D3">
        <w:t xml:space="preserve"> R</w:t>
      </w:r>
      <w:r w:rsidRPr="0038431B">
        <w:t>ekreacij</w:t>
      </w:r>
      <w:r w:rsidR="003E73D3">
        <w:t>a</w:t>
      </w:r>
      <w:r>
        <w:t>, kultur</w:t>
      </w:r>
      <w:r w:rsidR="003E73D3">
        <w:t>a</w:t>
      </w:r>
      <w:r>
        <w:t xml:space="preserve"> i religij</w:t>
      </w:r>
      <w:r w:rsidR="003E73D3">
        <w:t>a</w:t>
      </w:r>
      <w:r w:rsidRPr="0038431B">
        <w:t xml:space="preserve"> u iznosu </w:t>
      </w:r>
      <w:r w:rsidR="003E73D3">
        <w:t>43.472,97</w:t>
      </w:r>
      <w:r w:rsidRPr="00112A4F">
        <w:t xml:space="preserve"> kn</w:t>
      </w:r>
      <w:r w:rsidR="003E73D3">
        <w:t>, 09</w:t>
      </w:r>
      <w:r w:rsidR="00B8348D">
        <w:t xml:space="preserve"> </w:t>
      </w:r>
      <w:r w:rsidR="00C61173">
        <w:t>–</w:t>
      </w:r>
      <w:r w:rsidR="00B8348D">
        <w:t xml:space="preserve"> </w:t>
      </w:r>
      <w:r w:rsidR="00C61173">
        <w:t xml:space="preserve">obrazovanje u iznosu od </w:t>
      </w:r>
      <w:r w:rsidR="003E73D3">
        <w:t>21.324.255,60</w:t>
      </w:r>
      <w:r w:rsidRPr="00112A4F">
        <w:t xml:space="preserve"> kn, a</w:t>
      </w:r>
      <w:r w:rsidR="003E73D3">
        <w:t xml:space="preserve"> isti</w:t>
      </w:r>
      <w:r w:rsidRPr="00112A4F">
        <w:t xml:space="preserve"> obuhvaćaju rashode prijevoza, </w:t>
      </w:r>
      <w:r>
        <w:t>pre</w:t>
      </w:r>
      <w:r w:rsidRPr="00112A4F">
        <w:t xml:space="preserve">hrane te ostale rashode sličnih dopunskih usluga namijenjenih prvenstveno za učenike koji sudjeluju u </w:t>
      </w:r>
      <w:r>
        <w:t xml:space="preserve">projektu </w:t>
      </w:r>
      <w:r w:rsidRPr="00A64699">
        <w:rPr>
          <w:rFonts w:eastAsiaTheme="minorHAnsi"/>
          <w:lang w:eastAsia="en-US"/>
        </w:rPr>
        <w:t>„Posjet učenika osmih razreda Vukovaru“</w:t>
      </w:r>
      <w:r w:rsidR="003E73D3">
        <w:t xml:space="preserve"> i 10</w:t>
      </w:r>
      <w:r w:rsidR="00C81823">
        <w:t xml:space="preserve"> </w:t>
      </w:r>
      <w:r w:rsidR="003E73D3">
        <w:t>- socijalna zaštita</w:t>
      </w:r>
      <w:r w:rsidR="00B8348D">
        <w:t xml:space="preserve"> u iznosu od </w:t>
      </w:r>
      <w:r w:rsidR="003E73D3">
        <w:t>7.038.274,97</w:t>
      </w:r>
      <w:r w:rsidRPr="00112A4F">
        <w:t xml:space="preserve"> kn odnosi se na rashode za redov</w:t>
      </w:r>
      <w:r w:rsidR="003F1D2A">
        <w:t>no</w:t>
      </w:r>
      <w:r w:rsidRPr="00112A4F">
        <w:t xml:space="preserve"> poslovanje.</w:t>
      </w:r>
    </w:p>
    <w:p w14:paraId="3BDA2BB9" w14:textId="77777777" w:rsidR="003212E1" w:rsidRDefault="003212E1" w:rsidP="0006216D">
      <w:pPr>
        <w:jc w:val="both"/>
        <w:rPr>
          <w:color w:val="FF0000"/>
        </w:rPr>
      </w:pPr>
    </w:p>
    <w:p w14:paraId="3BCC1978" w14:textId="77777777" w:rsidR="003212E1" w:rsidRPr="00B8348D" w:rsidRDefault="003212E1" w:rsidP="0006216D">
      <w:pPr>
        <w:pStyle w:val="Odlomakpopisa"/>
        <w:numPr>
          <w:ilvl w:val="0"/>
          <w:numId w:val="7"/>
        </w:numPr>
        <w:spacing w:line="276" w:lineRule="auto"/>
        <w:jc w:val="both"/>
        <w:rPr>
          <w:b/>
        </w:rPr>
      </w:pPr>
      <w:r w:rsidRPr="00B8348D">
        <w:rPr>
          <w:b/>
          <w:caps/>
        </w:rPr>
        <w:t>Bilješke uz Izvještaj o obvezama- Obrazac</w:t>
      </w:r>
      <w:r w:rsidRPr="00B8348D">
        <w:rPr>
          <w:b/>
        </w:rPr>
        <w:t xml:space="preserve"> OBVEZE</w:t>
      </w:r>
    </w:p>
    <w:p w14:paraId="1FF9F274" w14:textId="77777777" w:rsidR="003212E1" w:rsidRPr="00F80F4F" w:rsidRDefault="003212E1" w:rsidP="0006216D">
      <w:pPr>
        <w:spacing w:line="276" w:lineRule="auto"/>
        <w:jc w:val="both"/>
        <w:rPr>
          <w:color w:val="FF0000"/>
        </w:rPr>
      </w:pPr>
    </w:p>
    <w:p w14:paraId="52D70828" w14:textId="78399346" w:rsidR="003212E1" w:rsidRPr="00021D1A" w:rsidRDefault="003E73D3" w:rsidP="003E73D3">
      <w:pPr>
        <w:spacing w:line="276" w:lineRule="auto"/>
        <w:jc w:val="both"/>
      </w:pPr>
      <w:r>
        <w:t>S</w:t>
      </w:r>
      <w:r w:rsidR="003212E1" w:rsidRPr="00021D1A">
        <w:t xml:space="preserve">tanje nedospjelih obveza na kraju izvještajnog razdoblja je </w:t>
      </w:r>
      <w:r>
        <w:t>733.437,80</w:t>
      </w:r>
      <w:r w:rsidR="003212E1" w:rsidRPr="00021D1A">
        <w:t xml:space="preserve"> kn i prema strukturi čini: </w:t>
      </w:r>
    </w:p>
    <w:p w14:paraId="1E60D354" w14:textId="7F10F8F2" w:rsidR="003212E1" w:rsidRPr="00021D1A" w:rsidRDefault="003212E1" w:rsidP="0006216D">
      <w:pPr>
        <w:pStyle w:val="Odlomakpopisa"/>
        <w:numPr>
          <w:ilvl w:val="0"/>
          <w:numId w:val="6"/>
        </w:numPr>
        <w:spacing w:line="276" w:lineRule="auto"/>
        <w:jc w:val="both"/>
      </w:pPr>
      <w:r w:rsidRPr="00021D1A">
        <w:t xml:space="preserve">Obveze za zaposlene u iznosu </w:t>
      </w:r>
      <w:r w:rsidR="00483DBA">
        <w:t>3</w:t>
      </w:r>
      <w:r w:rsidR="003E73D3">
        <w:t>85.457,11</w:t>
      </w:r>
      <w:r w:rsidR="003914C4">
        <w:t xml:space="preserve"> kn (plaća za 12 mj. 202</w:t>
      </w:r>
      <w:r w:rsidR="003E73D3">
        <w:t>2</w:t>
      </w:r>
      <w:r w:rsidRPr="00021D1A">
        <w:t xml:space="preserve"> godine),</w:t>
      </w:r>
    </w:p>
    <w:p w14:paraId="03980D78" w14:textId="04C8BC60" w:rsidR="003212E1" w:rsidRPr="00021D1A" w:rsidRDefault="003212E1" w:rsidP="0006216D">
      <w:pPr>
        <w:pStyle w:val="Odlomakpopisa"/>
        <w:numPr>
          <w:ilvl w:val="0"/>
          <w:numId w:val="6"/>
        </w:numPr>
        <w:spacing w:line="276" w:lineRule="auto"/>
        <w:jc w:val="both"/>
      </w:pPr>
      <w:r w:rsidRPr="00021D1A">
        <w:t xml:space="preserve">Obveze za materijalne rashode </w:t>
      </w:r>
      <w:r w:rsidR="003E73D3">
        <w:t>329.979,37</w:t>
      </w:r>
      <w:r w:rsidRPr="00021D1A">
        <w:t xml:space="preserve"> kn (</w:t>
      </w:r>
      <w:r w:rsidR="003914C4">
        <w:t>režijski troškovi za 12 mj. 202</w:t>
      </w:r>
      <w:r w:rsidR="003E73D3">
        <w:t>2</w:t>
      </w:r>
      <w:r w:rsidRPr="00021D1A">
        <w:t xml:space="preserve"> godine i naknade troškova zaposlenima -</w:t>
      </w:r>
      <w:r w:rsidR="003F1D2A">
        <w:t xml:space="preserve"> </w:t>
      </w:r>
      <w:r w:rsidRPr="00021D1A">
        <w:t xml:space="preserve">prijevoz na posao, nedospjele obveze),  </w:t>
      </w:r>
    </w:p>
    <w:p w14:paraId="7B4960CC" w14:textId="4FBE6695" w:rsidR="003212E1" w:rsidRPr="00021D1A" w:rsidRDefault="003212E1" w:rsidP="0006216D">
      <w:pPr>
        <w:pStyle w:val="Odlomakpopisa"/>
        <w:numPr>
          <w:ilvl w:val="0"/>
          <w:numId w:val="6"/>
        </w:numPr>
        <w:spacing w:line="276" w:lineRule="auto"/>
        <w:jc w:val="both"/>
      </w:pPr>
      <w:r w:rsidRPr="00021D1A">
        <w:t>Ostale tekuće obveze</w:t>
      </w:r>
      <w:r w:rsidR="00483DBA">
        <w:t xml:space="preserve"> 1</w:t>
      </w:r>
      <w:r w:rsidR="003E73D3">
        <w:t>8.001,32</w:t>
      </w:r>
      <w:r w:rsidRPr="00021D1A">
        <w:t xml:space="preserve"> kn (obveze za PDV,</w:t>
      </w:r>
      <w:r w:rsidR="00483DBA">
        <w:t xml:space="preserve"> za povrat u proračun</w:t>
      </w:r>
      <w:r w:rsidR="003F1D2A">
        <w:t xml:space="preserve"> </w:t>
      </w:r>
      <w:r w:rsidR="00483DBA">
        <w:t>- refundacije HZZO</w:t>
      </w:r>
      <w:r w:rsidRPr="00021D1A">
        <w:t>)</w:t>
      </w:r>
    </w:p>
    <w:p w14:paraId="491378C1" w14:textId="77777777" w:rsidR="003212E1" w:rsidRPr="00021D1A" w:rsidRDefault="003212E1" w:rsidP="003212E1">
      <w:pPr>
        <w:pStyle w:val="Odlomakpopisa"/>
        <w:spacing w:line="276" w:lineRule="auto"/>
        <w:ind w:left="1068"/>
      </w:pPr>
      <w:r w:rsidRPr="00021D1A">
        <w:tab/>
      </w:r>
      <w:r w:rsidRPr="00021D1A">
        <w:tab/>
      </w:r>
      <w:r w:rsidRPr="00021D1A">
        <w:tab/>
      </w:r>
      <w:r w:rsidRPr="00021D1A">
        <w:tab/>
      </w:r>
      <w:r w:rsidRPr="00021D1A">
        <w:tab/>
      </w:r>
    </w:p>
    <w:p w14:paraId="0B0C6DB1" w14:textId="77777777" w:rsidR="003212E1" w:rsidRDefault="003212E1" w:rsidP="003212E1"/>
    <w:p w14:paraId="76D8D027" w14:textId="77777777" w:rsidR="003212E1" w:rsidRDefault="003212E1" w:rsidP="003212E1">
      <w:r>
        <w:t>LKK</w:t>
      </w:r>
    </w:p>
    <w:p w14:paraId="76B6527D" w14:textId="77777777" w:rsidR="003212E1" w:rsidRDefault="003212E1" w:rsidP="003212E1"/>
    <w:p w14:paraId="4B877C05" w14:textId="77777777" w:rsidR="003212E1" w:rsidRPr="008629D1" w:rsidRDefault="003212E1" w:rsidP="003212E1"/>
    <w:p w14:paraId="27ADBA56" w14:textId="77777777" w:rsidR="003212E1" w:rsidRPr="00C654A6" w:rsidRDefault="003212E1" w:rsidP="003212E1">
      <w:r w:rsidRPr="00C654A6">
        <w:t>Prilozi:</w:t>
      </w:r>
    </w:p>
    <w:p w14:paraId="4ED24C02" w14:textId="77777777" w:rsidR="003212E1" w:rsidRPr="00C654A6" w:rsidRDefault="003212E1" w:rsidP="003212E1">
      <w:r w:rsidRPr="00C654A6">
        <w:t>-  Obrazac PR-RAS</w:t>
      </w:r>
    </w:p>
    <w:p w14:paraId="74BACF9A" w14:textId="77777777" w:rsidR="003212E1" w:rsidRDefault="003212E1" w:rsidP="003212E1">
      <w:r w:rsidRPr="00C654A6">
        <w:t xml:space="preserve">-  Obrazac OBVEZE </w:t>
      </w:r>
    </w:p>
    <w:p w14:paraId="3DBB2FD8" w14:textId="77777777" w:rsidR="003212E1" w:rsidRPr="00C654A6" w:rsidRDefault="003212E1" w:rsidP="003212E1">
      <w:r w:rsidRPr="00C654A6">
        <w:t>-  Obrazac BIL</w:t>
      </w:r>
    </w:p>
    <w:p w14:paraId="512756B2" w14:textId="77777777" w:rsidR="003212E1" w:rsidRPr="00C654A6" w:rsidRDefault="003212E1" w:rsidP="003212E1">
      <w:r w:rsidRPr="00C654A6">
        <w:t xml:space="preserve">-  Obrazac P-VRIO  </w:t>
      </w:r>
    </w:p>
    <w:p w14:paraId="6D35D3B6" w14:textId="77777777" w:rsidR="003212E1" w:rsidRPr="00CC61AE" w:rsidRDefault="003212E1" w:rsidP="003212E1">
      <w:r w:rsidRPr="00C654A6">
        <w:t>-  Obrazac RAS funkcijski</w:t>
      </w:r>
    </w:p>
    <w:p w14:paraId="4507E048" w14:textId="77777777" w:rsidR="003212E1" w:rsidRPr="00C654A6" w:rsidRDefault="003212E1" w:rsidP="003212E1"/>
    <w:p w14:paraId="5A340B0A" w14:textId="77777777" w:rsidR="003212E1" w:rsidRDefault="003212E1" w:rsidP="003212E1">
      <w:pPr>
        <w:rPr>
          <w:color w:val="FF0000"/>
        </w:rPr>
      </w:pPr>
    </w:p>
    <w:p w14:paraId="19985328" w14:textId="77777777" w:rsidR="003212E1" w:rsidRDefault="003212E1" w:rsidP="003212E1">
      <w:pPr>
        <w:rPr>
          <w:color w:val="FF0000"/>
        </w:rPr>
      </w:pPr>
    </w:p>
    <w:p w14:paraId="03BAD4D1" w14:textId="77777777" w:rsidR="003212E1" w:rsidRPr="00AC5E6A" w:rsidRDefault="003212E1" w:rsidP="003212E1">
      <w:r w:rsidRPr="00E106F0">
        <w:rPr>
          <w:color w:val="FF0000"/>
        </w:rPr>
        <w:t xml:space="preserve">                                                                             </w:t>
      </w:r>
      <w:r>
        <w:rPr>
          <w:color w:val="FF0000"/>
        </w:rPr>
        <w:t xml:space="preserve">                                       </w:t>
      </w:r>
      <w:r w:rsidRPr="00E106F0">
        <w:t>RAVNATELJ:</w:t>
      </w:r>
    </w:p>
    <w:p w14:paraId="3182FAA4" w14:textId="77777777" w:rsidR="003212E1" w:rsidRPr="00873FF4" w:rsidRDefault="003212E1" w:rsidP="003212E1">
      <w:r w:rsidRPr="00873FF4">
        <w:tab/>
      </w:r>
      <w:r w:rsidRPr="00873FF4">
        <w:tab/>
      </w:r>
      <w:r w:rsidRPr="00873FF4">
        <w:tab/>
      </w:r>
      <w:r w:rsidRPr="00873FF4">
        <w:tab/>
      </w:r>
      <w:r w:rsidRPr="00873FF4">
        <w:tab/>
      </w:r>
      <w:r w:rsidRPr="00873FF4">
        <w:tab/>
      </w:r>
      <w:r w:rsidRPr="00873FF4">
        <w:tab/>
      </w:r>
      <w:r w:rsidRPr="00873FF4">
        <w:tab/>
      </w:r>
      <w:r w:rsidRPr="00873FF4">
        <w:tab/>
        <w:t>Krunoslav Šeremet,</w:t>
      </w:r>
      <w:r w:rsidR="00B8348D">
        <w:t xml:space="preserve"> </w:t>
      </w:r>
      <w:r w:rsidRPr="00873FF4">
        <w:t>dipl.</w:t>
      </w:r>
      <w:r w:rsidR="00B8348D">
        <w:t xml:space="preserve"> </w:t>
      </w:r>
      <w:r w:rsidRPr="00873FF4">
        <w:t>ing.</w:t>
      </w:r>
    </w:p>
    <w:p w14:paraId="08D63F92" w14:textId="77777777" w:rsidR="003212E1" w:rsidRPr="00873FF4" w:rsidRDefault="003212E1" w:rsidP="003212E1"/>
    <w:p w14:paraId="1E517D49" w14:textId="77777777" w:rsidR="003212E1" w:rsidRPr="00C654A6" w:rsidRDefault="003212E1" w:rsidP="003212E1">
      <w:r w:rsidRPr="00C654A6">
        <w:t>Dostaviti:</w:t>
      </w:r>
    </w:p>
    <w:p w14:paraId="37402AAB" w14:textId="77777777" w:rsidR="003212E1" w:rsidRPr="00C654A6" w:rsidRDefault="003212E1" w:rsidP="003212E1">
      <w:pPr>
        <w:pStyle w:val="Odlomakpopisa"/>
        <w:numPr>
          <w:ilvl w:val="0"/>
          <w:numId w:val="5"/>
        </w:numPr>
      </w:pPr>
      <w:r w:rsidRPr="00C654A6">
        <w:t>Ministarstvo</w:t>
      </w:r>
      <w:r>
        <w:t xml:space="preserve"> hrvatskih</w:t>
      </w:r>
      <w:r w:rsidRPr="00C654A6">
        <w:t xml:space="preserve"> branitelja,</w:t>
      </w:r>
    </w:p>
    <w:p w14:paraId="33B1B119" w14:textId="77777777" w:rsidR="003212E1" w:rsidRPr="00C654A6" w:rsidRDefault="003212E1" w:rsidP="003212E1">
      <w:pPr>
        <w:pStyle w:val="Odlomakpopisa"/>
        <w:numPr>
          <w:ilvl w:val="0"/>
          <w:numId w:val="5"/>
        </w:numPr>
      </w:pPr>
      <w:r w:rsidRPr="00C654A6">
        <w:t xml:space="preserve">Državni ured za reviziju, </w:t>
      </w:r>
    </w:p>
    <w:p w14:paraId="42E3D0CB" w14:textId="77777777" w:rsidR="003212E1" w:rsidRPr="00C654A6" w:rsidRDefault="003212E1" w:rsidP="003212E1">
      <w:pPr>
        <w:pStyle w:val="Odlomakpopisa"/>
        <w:numPr>
          <w:ilvl w:val="0"/>
          <w:numId w:val="5"/>
        </w:numPr>
      </w:pPr>
      <w:r w:rsidRPr="00C654A6">
        <w:t>Pismohrana, ovdje</w:t>
      </w:r>
    </w:p>
    <w:p w14:paraId="38CDC4E0" w14:textId="77777777" w:rsidR="003212E1" w:rsidRPr="003418E3" w:rsidRDefault="003212E1" w:rsidP="003212E1">
      <w:pPr>
        <w:pStyle w:val="Odlomakpopisa"/>
      </w:pPr>
    </w:p>
    <w:p w14:paraId="4906AA01" w14:textId="77777777" w:rsidR="003212E1" w:rsidRPr="00BA623D" w:rsidRDefault="003212E1" w:rsidP="003212E1"/>
    <w:p w14:paraId="1FB4C008" w14:textId="77777777" w:rsidR="00BF7C2A" w:rsidRDefault="00BF7C2A" w:rsidP="009E4065"/>
    <w:p w14:paraId="7437BA4F" w14:textId="77777777" w:rsidR="00BF7C2A" w:rsidRPr="00BF7C2A" w:rsidRDefault="00BF7C2A" w:rsidP="00BF7C2A"/>
    <w:sectPr w:rsidR="00BF7C2A" w:rsidRPr="00BF7C2A" w:rsidSect="000621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0" w:right="1133" w:bottom="1134" w:left="1134" w:header="794" w:footer="283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E261" w14:textId="77777777" w:rsidR="004A6F76" w:rsidRDefault="004A6F76" w:rsidP="00C846E1">
      <w:r>
        <w:separator/>
      </w:r>
    </w:p>
  </w:endnote>
  <w:endnote w:type="continuationSeparator" w:id="0">
    <w:p w14:paraId="494889E7" w14:textId="77777777" w:rsidR="004A6F76" w:rsidRDefault="004A6F76" w:rsidP="00C8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no Pro Light Display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FF06" w14:textId="77777777" w:rsidR="002A072D" w:rsidRPr="00F40071" w:rsidRDefault="002A072D" w:rsidP="008C702F">
    <w:pPr>
      <w:pStyle w:val="Podnoje"/>
      <w:pBdr>
        <w:top w:val="single" w:sz="4" w:space="5" w:color="auto"/>
      </w:pBdr>
      <w:tabs>
        <w:tab w:val="clear" w:pos="4536"/>
        <w:tab w:val="clear" w:pos="9072"/>
      </w:tabs>
      <w:spacing w:after="120"/>
      <w:ind w:left="-284" w:right="-143"/>
      <w:jc w:val="center"/>
      <w:rPr>
        <w:rFonts w:ascii="Arno Pro Light Display" w:hAnsi="Arno Pro Light Display"/>
        <w:sz w:val="18"/>
      </w:rPr>
    </w:pPr>
    <w:r w:rsidRPr="00F40071">
      <w:rPr>
        <w:rFonts w:ascii="Arno Pro Light Display" w:hAnsi="Arno Pro Light Display"/>
        <w:sz w:val="18"/>
      </w:rPr>
      <w:t xml:space="preserve">Javna ustanova </w:t>
    </w:r>
    <w:r w:rsidRPr="00F40071">
      <w:rPr>
        <w:rFonts w:ascii="Arno Pro Light Display" w:hAnsi="Arno Pro Light Display"/>
        <w:i/>
        <w:sz w:val="18"/>
      </w:rPr>
      <w:t>„Memorijalni centar Domovinskog rata Vukovar“</w:t>
    </w:r>
  </w:p>
  <w:p w14:paraId="096458D5" w14:textId="12579DD0" w:rsidR="002A072D" w:rsidRPr="00F40071" w:rsidRDefault="002A072D" w:rsidP="008C702F">
    <w:pPr>
      <w:pStyle w:val="Podnoje"/>
      <w:tabs>
        <w:tab w:val="clear" w:pos="4536"/>
        <w:tab w:val="clear" w:pos="9072"/>
      </w:tabs>
      <w:spacing w:after="120"/>
      <w:ind w:left="-426" w:right="-284"/>
      <w:jc w:val="center"/>
      <w:rPr>
        <w:rFonts w:ascii="Arno Pro Light Display" w:hAnsi="Arno Pro Light Display"/>
        <w:sz w:val="16"/>
      </w:rPr>
    </w:pPr>
    <w:r w:rsidRPr="00F40071">
      <w:rPr>
        <w:rFonts w:ascii="Arno Pro Light Display" w:hAnsi="Arno Pro Light Display"/>
        <w:sz w:val="16"/>
      </w:rPr>
      <w:t xml:space="preserve"> Ive Tijardovića </w:t>
    </w:r>
    <w:r>
      <w:rPr>
        <w:rFonts w:ascii="Arno Pro Light Display" w:hAnsi="Arno Pro Light Display"/>
        <w:sz w:val="16"/>
      </w:rPr>
      <w:t>60</w:t>
    </w:r>
    <w:r w:rsidRPr="00F40071">
      <w:rPr>
        <w:rFonts w:ascii="Arno Pro Light Display" w:hAnsi="Arno Pro Light Display"/>
        <w:sz w:val="16"/>
      </w:rPr>
      <w:t xml:space="preserve"> 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32 000 Vukovar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Republika Hrvatska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Tel: +385 (0)32 638 5</w:t>
    </w:r>
    <w:r>
      <w:rPr>
        <w:rFonts w:ascii="Arno Pro Light Display" w:hAnsi="Arno Pro Light Display"/>
        <w:sz w:val="16"/>
      </w:rPr>
      <w:t>67</w:t>
    </w:r>
    <w:r w:rsidRPr="00F40071">
      <w:rPr>
        <w:rFonts w:ascii="Arno Pro Light Display" w:hAnsi="Arno Pro Light Display"/>
        <w:sz w:val="16"/>
      </w:rPr>
      <w:t xml:space="preserve">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Fax: +385 (0)32 638 570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OIB 18534327031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</w:t>
    </w:r>
    <w:r>
      <w:rPr>
        <w:rFonts w:ascii="Arno Pro Light Display" w:hAnsi="Arno Pro Light Display"/>
        <w:sz w:val="16"/>
      </w:rPr>
      <w:t>E</w:t>
    </w:r>
    <w:r w:rsidRPr="00F40071">
      <w:rPr>
        <w:rFonts w:ascii="Arno Pro Light Display" w:hAnsi="Arno Pro Light Display"/>
        <w:sz w:val="16"/>
      </w:rPr>
      <w:t xml:space="preserve">-pošta: </w:t>
    </w:r>
    <w:hyperlink r:id="rId1" w:history="1">
      <w:r w:rsidRPr="00F40071">
        <w:rPr>
          <w:rStyle w:val="Hiperveza"/>
          <w:rFonts w:ascii="Arno Pro Light Display" w:hAnsi="Arno Pro Light Display"/>
          <w:color w:val="auto"/>
          <w:sz w:val="16"/>
        </w:rPr>
        <w:t>info@mcdrvu.hr</w:t>
      </w:r>
    </w:hyperlink>
    <w:r w:rsidRPr="00F40071">
      <w:rPr>
        <w:rFonts w:ascii="Arno Pro Light Display" w:hAnsi="Arno Pro Light Display"/>
        <w:sz w:val="16"/>
      </w:rPr>
      <w:t xml:space="preserve"> </w:t>
    </w:r>
    <w:r w:rsidRPr="00F40071">
      <w:rPr>
        <w:rFonts w:ascii="Arno Pro Light Display" w:hAnsi="Arno Pro Light Display"/>
        <w:sz w:val="20"/>
      </w:rPr>
      <w:sym w:font="Symbol" w:char="F07C"/>
    </w:r>
    <w:r w:rsidRPr="00F40071">
      <w:rPr>
        <w:rFonts w:ascii="Arno Pro Light Display" w:hAnsi="Arno Pro Light Display"/>
        <w:sz w:val="20"/>
      </w:rPr>
      <w:t xml:space="preserve"> </w:t>
    </w:r>
    <w:r w:rsidRPr="00F40071">
      <w:rPr>
        <w:rFonts w:ascii="Arno Pro Light Display" w:hAnsi="Arno Pro Light Display"/>
        <w:sz w:val="16"/>
      </w:rPr>
      <w:t>mcdrvu.hr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FA47" w14:textId="77777777" w:rsidR="002A072D" w:rsidRPr="00F40071" w:rsidRDefault="002A072D" w:rsidP="00940742">
    <w:pPr>
      <w:pStyle w:val="Podnoje"/>
      <w:pBdr>
        <w:top w:val="single" w:sz="4" w:space="5" w:color="auto"/>
      </w:pBdr>
      <w:tabs>
        <w:tab w:val="clear" w:pos="4536"/>
        <w:tab w:val="clear" w:pos="9072"/>
      </w:tabs>
      <w:spacing w:after="120"/>
      <w:ind w:left="-284" w:right="-143"/>
      <w:jc w:val="center"/>
      <w:rPr>
        <w:rFonts w:ascii="Arno Pro Light Display" w:hAnsi="Arno Pro Light Display"/>
        <w:sz w:val="18"/>
      </w:rPr>
    </w:pPr>
    <w:r w:rsidRPr="00F40071">
      <w:rPr>
        <w:rFonts w:ascii="Arno Pro Light Display" w:hAnsi="Arno Pro Light Display"/>
        <w:sz w:val="18"/>
      </w:rPr>
      <w:t xml:space="preserve">Javna ustanova </w:t>
    </w:r>
    <w:r w:rsidRPr="00F40071">
      <w:rPr>
        <w:rFonts w:ascii="Arno Pro Light Display" w:hAnsi="Arno Pro Light Display"/>
        <w:i/>
        <w:sz w:val="18"/>
      </w:rPr>
      <w:t>„Memorijalni centar Domovinskog rata Vukovar“</w:t>
    </w:r>
  </w:p>
  <w:p w14:paraId="201C2E11" w14:textId="77777777" w:rsidR="002A072D" w:rsidRPr="00F40071" w:rsidRDefault="002A072D" w:rsidP="00940742">
    <w:pPr>
      <w:pStyle w:val="Podnoje"/>
      <w:tabs>
        <w:tab w:val="clear" w:pos="4536"/>
        <w:tab w:val="clear" w:pos="9072"/>
      </w:tabs>
      <w:spacing w:after="120"/>
      <w:ind w:left="-426" w:right="-284"/>
      <w:jc w:val="center"/>
      <w:rPr>
        <w:rFonts w:ascii="Arno Pro Light Display" w:hAnsi="Arno Pro Light Display"/>
        <w:sz w:val="16"/>
      </w:rPr>
    </w:pPr>
    <w:r w:rsidRPr="00F40071">
      <w:rPr>
        <w:rFonts w:ascii="Arno Pro Light Display" w:hAnsi="Arno Pro Light Display"/>
        <w:sz w:val="16"/>
      </w:rPr>
      <w:t xml:space="preserve">Ive Tijardovića </w:t>
    </w:r>
    <w:r>
      <w:rPr>
        <w:rFonts w:ascii="Arno Pro Light Display" w:hAnsi="Arno Pro Light Display"/>
        <w:sz w:val="16"/>
      </w:rPr>
      <w:t>60</w:t>
    </w:r>
    <w:r w:rsidRPr="00F40071">
      <w:rPr>
        <w:rFonts w:ascii="Arno Pro Light Display" w:hAnsi="Arno Pro Light Display"/>
        <w:sz w:val="16"/>
      </w:rPr>
      <w:t xml:space="preserve"> 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32 000 Vukovar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Republika Hrvatska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Tel: +385 (0)32 638 5</w:t>
    </w:r>
    <w:r>
      <w:rPr>
        <w:rFonts w:ascii="Arno Pro Light Display" w:hAnsi="Arno Pro Light Display"/>
        <w:sz w:val="16"/>
      </w:rPr>
      <w:t>67</w:t>
    </w:r>
    <w:r w:rsidRPr="00F40071">
      <w:rPr>
        <w:rFonts w:ascii="Arno Pro Light Display" w:hAnsi="Arno Pro Light Display"/>
        <w:sz w:val="16"/>
      </w:rPr>
      <w:t xml:space="preserve">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Fax: +385 (0)32 638 570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OIB 18534327031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</w:t>
    </w:r>
    <w:r>
      <w:rPr>
        <w:rFonts w:ascii="Arno Pro Light Display" w:hAnsi="Arno Pro Light Display"/>
        <w:sz w:val="16"/>
      </w:rPr>
      <w:t>E</w:t>
    </w:r>
    <w:r w:rsidRPr="00F40071">
      <w:rPr>
        <w:rFonts w:ascii="Arno Pro Light Display" w:hAnsi="Arno Pro Light Display"/>
        <w:sz w:val="16"/>
      </w:rPr>
      <w:t xml:space="preserve">-pošta: </w:t>
    </w:r>
    <w:hyperlink r:id="rId1" w:history="1">
      <w:r w:rsidRPr="00F40071">
        <w:rPr>
          <w:rStyle w:val="Hiperveza"/>
          <w:rFonts w:ascii="Arno Pro Light Display" w:hAnsi="Arno Pro Light Display"/>
          <w:color w:val="auto"/>
          <w:sz w:val="16"/>
        </w:rPr>
        <w:t>info@mcdrvu.hr</w:t>
      </w:r>
    </w:hyperlink>
    <w:r w:rsidRPr="00F40071">
      <w:rPr>
        <w:rFonts w:ascii="Arno Pro Light Display" w:hAnsi="Arno Pro Light Display"/>
        <w:sz w:val="16"/>
      </w:rPr>
      <w:t xml:space="preserve"> </w:t>
    </w:r>
    <w:r w:rsidRPr="00F40071">
      <w:rPr>
        <w:rFonts w:ascii="Arno Pro Light Display" w:hAnsi="Arno Pro Light Display"/>
        <w:sz w:val="20"/>
      </w:rPr>
      <w:sym w:font="Symbol" w:char="F07C"/>
    </w:r>
    <w:r w:rsidRPr="00F40071">
      <w:rPr>
        <w:rFonts w:ascii="Arno Pro Light Display" w:hAnsi="Arno Pro Light Display"/>
        <w:sz w:val="20"/>
      </w:rPr>
      <w:t xml:space="preserve"> </w:t>
    </w:r>
    <w:r w:rsidRPr="00F40071">
      <w:rPr>
        <w:rFonts w:ascii="Arno Pro Light Display" w:hAnsi="Arno Pro Light Display"/>
        <w:sz w:val="16"/>
      </w:rPr>
      <w:t>mcdrvu.hr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6E21" w14:textId="77777777" w:rsidR="004A6F76" w:rsidRDefault="004A6F76" w:rsidP="00C846E1">
      <w:r>
        <w:separator/>
      </w:r>
    </w:p>
  </w:footnote>
  <w:footnote w:type="continuationSeparator" w:id="0">
    <w:p w14:paraId="47BC8C5F" w14:textId="77777777" w:rsidR="004A6F76" w:rsidRDefault="004A6F76" w:rsidP="00C8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48589935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6DF2EA89" w14:textId="77777777" w:rsidR="00426688" w:rsidRDefault="00426688">
        <w:pPr>
          <w:pStyle w:val="Zaglavlj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Stranica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426688">
          <w:rPr>
            <w:b/>
            <w:bCs/>
            <w:noProof/>
          </w:rPr>
          <w:t>13</w:t>
        </w:r>
        <w:r>
          <w:rPr>
            <w:b/>
            <w:bCs/>
          </w:rPr>
          <w:fldChar w:fldCharType="end"/>
        </w:r>
      </w:p>
    </w:sdtContent>
  </w:sdt>
  <w:p w14:paraId="1B1C7BBD" w14:textId="77777777" w:rsidR="00D26AF7" w:rsidRDefault="00D26AF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BBAC" w14:textId="77777777" w:rsidR="002A072D" w:rsidRDefault="002A072D" w:rsidP="002B4D56">
    <w:pPr>
      <w:pStyle w:val="Zaglavlje"/>
      <w:tabs>
        <w:tab w:val="clear" w:pos="4536"/>
        <w:tab w:val="clear" w:pos="9072"/>
      </w:tabs>
      <w:spacing w:after="120"/>
      <w:ind w:right="7229"/>
      <w:jc w:val="center"/>
      <w:rPr>
        <w:rFonts w:ascii="Arno Pro Light Display" w:hAnsi="Arno Pro Light Display"/>
      </w:rPr>
    </w:pPr>
    <w:r>
      <w:rPr>
        <w:rFonts w:ascii="Arno Pro SmText" w:hAnsi="Arno Pro SmText"/>
        <w:noProof/>
      </w:rPr>
      <w:drawing>
        <wp:inline distT="0" distB="0" distL="0" distR="0" wp14:anchorId="09EAFF01" wp14:editId="17457A85">
          <wp:extent cx="720000" cy="720000"/>
          <wp:effectExtent l="0" t="0" r="4445" b="444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CDRVukovar_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37720" w14:textId="77777777" w:rsidR="002A072D" w:rsidRPr="005D064E" w:rsidRDefault="002A072D" w:rsidP="002B4D56">
    <w:pPr>
      <w:pStyle w:val="Zaglavlje"/>
      <w:ind w:right="7229"/>
      <w:jc w:val="center"/>
      <w:rPr>
        <w:rFonts w:ascii="Arno Pro Light Display" w:hAnsi="Arno Pro Light Display"/>
        <w:i/>
      </w:rPr>
    </w:pPr>
    <w:r w:rsidRPr="005D064E">
      <w:rPr>
        <w:rFonts w:ascii="Arno Pro Light Display" w:hAnsi="Arno Pro Light Display"/>
        <w:i/>
      </w:rPr>
      <w:t>Memorijalni centar</w:t>
    </w:r>
  </w:p>
  <w:p w14:paraId="04CDBE9A" w14:textId="77777777" w:rsidR="002A072D" w:rsidRPr="005D064E" w:rsidRDefault="002A072D" w:rsidP="002B4D56">
    <w:pPr>
      <w:pStyle w:val="Zaglavlje"/>
      <w:ind w:right="7229"/>
      <w:jc w:val="center"/>
      <w:rPr>
        <w:rFonts w:ascii="Arno Pro Light Display" w:hAnsi="Arno Pro Light Display"/>
        <w:i/>
      </w:rPr>
    </w:pPr>
    <w:r w:rsidRPr="005D064E">
      <w:rPr>
        <w:rFonts w:ascii="Arno Pro Light Display" w:hAnsi="Arno Pro Light Display"/>
        <w:i/>
      </w:rPr>
      <w:t>Domovinskog rata Vukovar</w:t>
    </w:r>
  </w:p>
  <w:p w14:paraId="6415C15B" w14:textId="77777777" w:rsidR="002A072D" w:rsidRDefault="002A07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5EF"/>
    <w:multiLevelType w:val="hybridMultilevel"/>
    <w:tmpl w:val="339AF9F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108B"/>
    <w:multiLevelType w:val="hybridMultilevel"/>
    <w:tmpl w:val="4052F336"/>
    <w:lvl w:ilvl="0" w:tplc="62B05F9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1279"/>
    <w:multiLevelType w:val="hybridMultilevel"/>
    <w:tmpl w:val="94A4BEE2"/>
    <w:lvl w:ilvl="0" w:tplc="EAE4B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604"/>
    <w:multiLevelType w:val="hybridMultilevel"/>
    <w:tmpl w:val="BA9A2B8A"/>
    <w:lvl w:ilvl="0" w:tplc="AD341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D1674B"/>
    <w:multiLevelType w:val="hybridMultilevel"/>
    <w:tmpl w:val="AB22A41E"/>
    <w:lvl w:ilvl="0" w:tplc="E1E0DDD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0F4C5D"/>
    <w:multiLevelType w:val="hybridMultilevel"/>
    <w:tmpl w:val="C7DCDCB2"/>
    <w:lvl w:ilvl="0" w:tplc="DB421E40">
      <w:start w:val="6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93297"/>
    <w:multiLevelType w:val="hybridMultilevel"/>
    <w:tmpl w:val="366C3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4A31"/>
    <w:multiLevelType w:val="hybridMultilevel"/>
    <w:tmpl w:val="BE7063CE"/>
    <w:lvl w:ilvl="0" w:tplc="5C941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A53BE"/>
    <w:multiLevelType w:val="hybridMultilevel"/>
    <w:tmpl w:val="1A349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B5837"/>
    <w:multiLevelType w:val="hybridMultilevel"/>
    <w:tmpl w:val="381CD79E"/>
    <w:lvl w:ilvl="0" w:tplc="36F018A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81DB2"/>
    <w:multiLevelType w:val="multilevel"/>
    <w:tmpl w:val="43686B0A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65F75E3"/>
    <w:multiLevelType w:val="hybridMultilevel"/>
    <w:tmpl w:val="339AF9F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D05F8"/>
    <w:multiLevelType w:val="hybridMultilevel"/>
    <w:tmpl w:val="59CE9A3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3165034">
    <w:abstractNumId w:val="11"/>
  </w:num>
  <w:num w:numId="2" w16cid:durableId="536698972">
    <w:abstractNumId w:val="7"/>
  </w:num>
  <w:num w:numId="3" w16cid:durableId="1692954811">
    <w:abstractNumId w:val="6"/>
  </w:num>
  <w:num w:numId="4" w16cid:durableId="244000775">
    <w:abstractNumId w:val="5"/>
  </w:num>
  <w:num w:numId="5" w16cid:durableId="1993824859">
    <w:abstractNumId w:val="2"/>
  </w:num>
  <w:num w:numId="6" w16cid:durableId="469857876">
    <w:abstractNumId w:val="4"/>
  </w:num>
  <w:num w:numId="7" w16cid:durableId="323044919">
    <w:abstractNumId w:val="10"/>
  </w:num>
  <w:num w:numId="8" w16cid:durableId="1784497677">
    <w:abstractNumId w:val="0"/>
  </w:num>
  <w:num w:numId="9" w16cid:durableId="1486973855">
    <w:abstractNumId w:val="3"/>
  </w:num>
  <w:num w:numId="10" w16cid:durableId="1024745343">
    <w:abstractNumId w:val="8"/>
  </w:num>
  <w:num w:numId="11" w16cid:durableId="589848509">
    <w:abstractNumId w:val="9"/>
  </w:num>
  <w:num w:numId="12" w16cid:durableId="601572303">
    <w:abstractNumId w:val="1"/>
  </w:num>
  <w:num w:numId="13" w16cid:durableId="7105018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BA"/>
    <w:rsid w:val="00032C87"/>
    <w:rsid w:val="00035EA1"/>
    <w:rsid w:val="00045A99"/>
    <w:rsid w:val="00056671"/>
    <w:rsid w:val="0006216D"/>
    <w:rsid w:val="00095E87"/>
    <w:rsid w:val="000A1679"/>
    <w:rsid w:val="000E65F4"/>
    <w:rsid w:val="00136DB4"/>
    <w:rsid w:val="00137A7A"/>
    <w:rsid w:val="0016262A"/>
    <w:rsid w:val="00162DC0"/>
    <w:rsid w:val="00174A4A"/>
    <w:rsid w:val="001765C8"/>
    <w:rsid w:val="001819F5"/>
    <w:rsid w:val="001B271A"/>
    <w:rsid w:val="001D3714"/>
    <w:rsid w:val="001E3F93"/>
    <w:rsid w:val="001E48B6"/>
    <w:rsid w:val="00203413"/>
    <w:rsid w:val="00212B6D"/>
    <w:rsid w:val="00236604"/>
    <w:rsid w:val="0025172C"/>
    <w:rsid w:val="0028195E"/>
    <w:rsid w:val="00284F19"/>
    <w:rsid w:val="002A0121"/>
    <w:rsid w:val="002A072D"/>
    <w:rsid w:val="002B4D56"/>
    <w:rsid w:val="002B58EF"/>
    <w:rsid w:val="002E0ECB"/>
    <w:rsid w:val="002E4ECB"/>
    <w:rsid w:val="003126FF"/>
    <w:rsid w:val="003212E1"/>
    <w:rsid w:val="003440B4"/>
    <w:rsid w:val="003733CB"/>
    <w:rsid w:val="00374085"/>
    <w:rsid w:val="00380742"/>
    <w:rsid w:val="00380D78"/>
    <w:rsid w:val="00382D4F"/>
    <w:rsid w:val="00383AE9"/>
    <w:rsid w:val="003914C4"/>
    <w:rsid w:val="00397494"/>
    <w:rsid w:val="003A4016"/>
    <w:rsid w:val="003A4E11"/>
    <w:rsid w:val="003A5584"/>
    <w:rsid w:val="003D5BC9"/>
    <w:rsid w:val="003E4766"/>
    <w:rsid w:val="003E73D3"/>
    <w:rsid w:val="003F1D2A"/>
    <w:rsid w:val="003F3AE5"/>
    <w:rsid w:val="003F6440"/>
    <w:rsid w:val="004121F9"/>
    <w:rsid w:val="00426688"/>
    <w:rsid w:val="004325B0"/>
    <w:rsid w:val="00434BFE"/>
    <w:rsid w:val="004448C7"/>
    <w:rsid w:val="0047056C"/>
    <w:rsid w:val="00483DBA"/>
    <w:rsid w:val="004A6F76"/>
    <w:rsid w:val="004B6D72"/>
    <w:rsid w:val="004E44DF"/>
    <w:rsid w:val="004E4E8F"/>
    <w:rsid w:val="00511EB8"/>
    <w:rsid w:val="0053135D"/>
    <w:rsid w:val="005A4B22"/>
    <w:rsid w:val="005A66AA"/>
    <w:rsid w:val="005A678A"/>
    <w:rsid w:val="005B516A"/>
    <w:rsid w:val="005C4BD9"/>
    <w:rsid w:val="005D064E"/>
    <w:rsid w:val="005D1A69"/>
    <w:rsid w:val="005E51EA"/>
    <w:rsid w:val="00604B27"/>
    <w:rsid w:val="00613622"/>
    <w:rsid w:val="00614504"/>
    <w:rsid w:val="006509D0"/>
    <w:rsid w:val="00651FB8"/>
    <w:rsid w:val="00665281"/>
    <w:rsid w:val="00685138"/>
    <w:rsid w:val="006A1AEE"/>
    <w:rsid w:val="006A56F5"/>
    <w:rsid w:val="006C1D2F"/>
    <w:rsid w:val="006C68F8"/>
    <w:rsid w:val="006D6F5C"/>
    <w:rsid w:val="007020BE"/>
    <w:rsid w:val="00744057"/>
    <w:rsid w:val="007540AA"/>
    <w:rsid w:val="00764D5E"/>
    <w:rsid w:val="007C677F"/>
    <w:rsid w:val="007F2395"/>
    <w:rsid w:val="00802A70"/>
    <w:rsid w:val="00807728"/>
    <w:rsid w:val="00830C3D"/>
    <w:rsid w:val="00876617"/>
    <w:rsid w:val="00887404"/>
    <w:rsid w:val="00890C92"/>
    <w:rsid w:val="008B1C7C"/>
    <w:rsid w:val="008B6C2A"/>
    <w:rsid w:val="008C6C0A"/>
    <w:rsid w:val="008C702F"/>
    <w:rsid w:val="008D03DB"/>
    <w:rsid w:val="008D3F11"/>
    <w:rsid w:val="008E3A3E"/>
    <w:rsid w:val="008F2E75"/>
    <w:rsid w:val="00940098"/>
    <w:rsid w:val="00940742"/>
    <w:rsid w:val="00940A6B"/>
    <w:rsid w:val="00970287"/>
    <w:rsid w:val="009925EB"/>
    <w:rsid w:val="009E4065"/>
    <w:rsid w:val="009E5984"/>
    <w:rsid w:val="00A11E7A"/>
    <w:rsid w:val="00A557C4"/>
    <w:rsid w:val="00A64703"/>
    <w:rsid w:val="00A91003"/>
    <w:rsid w:val="00AA3076"/>
    <w:rsid w:val="00AC0828"/>
    <w:rsid w:val="00B26156"/>
    <w:rsid w:val="00B33F33"/>
    <w:rsid w:val="00B5292E"/>
    <w:rsid w:val="00B60BE0"/>
    <w:rsid w:val="00B76BB6"/>
    <w:rsid w:val="00B81B86"/>
    <w:rsid w:val="00B8348D"/>
    <w:rsid w:val="00B93C3D"/>
    <w:rsid w:val="00BA0B0D"/>
    <w:rsid w:val="00BA51EE"/>
    <w:rsid w:val="00BB22A3"/>
    <w:rsid w:val="00BC0BF6"/>
    <w:rsid w:val="00BC25CE"/>
    <w:rsid w:val="00BD1866"/>
    <w:rsid w:val="00BE72F6"/>
    <w:rsid w:val="00BF7C2A"/>
    <w:rsid w:val="00C014AF"/>
    <w:rsid w:val="00C02789"/>
    <w:rsid w:val="00C104CC"/>
    <w:rsid w:val="00C46566"/>
    <w:rsid w:val="00C61173"/>
    <w:rsid w:val="00C61EBC"/>
    <w:rsid w:val="00C81468"/>
    <w:rsid w:val="00C81823"/>
    <w:rsid w:val="00C846E1"/>
    <w:rsid w:val="00CC2658"/>
    <w:rsid w:val="00CC5DC6"/>
    <w:rsid w:val="00CC64D6"/>
    <w:rsid w:val="00CD70BA"/>
    <w:rsid w:val="00CE261F"/>
    <w:rsid w:val="00CF1E6D"/>
    <w:rsid w:val="00D05B65"/>
    <w:rsid w:val="00D12181"/>
    <w:rsid w:val="00D26AF7"/>
    <w:rsid w:val="00D77399"/>
    <w:rsid w:val="00D77AC0"/>
    <w:rsid w:val="00D87717"/>
    <w:rsid w:val="00DC1876"/>
    <w:rsid w:val="00E373B5"/>
    <w:rsid w:val="00E63C6C"/>
    <w:rsid w:val="00E67625"/>
    <w:rsid w:val="00E740CB"/>
    <w:rsid w:val="00E927E6"/>
    <w:rsid w:val="00EA3DA6"/>
    <w:rsid w:val="00EA63F0"/>
    <w:rsid w:val="00EA7654"/>
    <w:rsid w:val="00ED705B"/>
    <w:rsid w:val="00EE26BB"/>
    <w:rsid w:val="00EE7BCD"/>
    <w:rsid w:val="00F00ECD"/>
    <w:rsid w:val="00F40071"/>
    <w:rsid w:val="00F52A94"/>
    <w:rsid w:val="00F60516"/>
    <w:rsid w:val="00F60B7B"/>
    <w:rsid w:val="00F67829"/>
    <w:rsid w:val="00F80E7E"/>
    <w:rsid w:val="00FA4760"/>
    <w:rsid w:val="00FC0D03"/>
    <w:rsid w:val="00FD6BEE"/>
    <w:rsid w:val="00FE6BDC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07A12"/>
  <w15:chartTrackingRefBased/>
  <w15:docId w15:val="{6EFE6003-D0BD-40A9-B776-335881F2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46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46E1"/>
  </w:style>
  <w:style w:type="paragraph" w:styleId="Podnoje">
    <w:name w:val="footer"/>
    <w:basedOn w:val="Normal"/>
    <w:link w:val="PodnojeChar"/>
    <w:uiPriority w:val="99"/>
    <w:unhideWhenUsed/>
    <w:rsid w:val="00C846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46E1"/>
  </w:style>
  <w:style w:type="character" w:styleId="Hiperveza">
    <w:name w:val="Hyperlink"/>
    <w:basedOn w:val="Zadanifontodlomka"/>
    <w:uiPriority w:val="99"/>
    <w:unhideWhenUsed/>
    <w:rsid w:val="003A4E1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0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0B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212E1"/>
    <w:pPr>
      <w:ind w:left="720"/>
      <w:contextualSpacing/>
    </w:pPr>
  </w:style>
  <w:style w:type="table" w:styleId="Reetkatablice">
    <w:name w:val="Table Grid"/>
    <w:basedOn w:val="Obinatablica"/>
    <w:uiPriority w:val="39"/>
    <w:rsid w:val="0032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cdrvu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cdrvu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82C17-7D91-4769-AFA7-C324522F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10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05</dc:creator>
  <cp:keywords/>
  <dc:description/>
  <cp:lastModifiedBy>Korisnik</cp:lastModifiedBy>
  <cp:revision>50</cp:revision>
  <cp:lastPrinted>2023-01-26T10:27:00Z</cp:lastPrinted>
  <dcterms:created xsi:type="dcterms:W3CDTF">2020-01-28T08:29:00Z</dcterms:created>
  <dcterms:modified xsi:type="dcterms:W3CDTF">2023-01-26T10:27:00Z</dcterms:modified>
</cp:coreProperties>
</file>